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1053" w:rsidRDefault="00000000">
      <w:pPr>
        <w:spacing w:after="40"/>
      </w:pPr>
      <w:r>
        <w:rPr>
          <w:b/>
          <w:bCs/>
          <w:color w:val="8B0000"/>
          <w:sz w:val="20"/>
          <w:szCs w:val="20"/>
        </w:rPr>
        <w:t>LETTER A</w:t>
      </w:r>
    </w:p>
    <w:p w:rsidR="00BC1053" w:rsidRDefault="00000000">
      <w:pPr>
        <w:spacing w:after="240"/>
      </w:pPr>
      <w:r>
        <w:rPr>
          <w:i/>
          <w:iCs/>
          <w:color w:val="666666"/>
          <w:sz w:val="20"/>
          <w:szCs w:val="20"/>
        </w:rPr>
        <w:t>For colleagues who may not know CASP</w:t>
      </w:r>
    </w:p>
    <w:p w:rsidR="00BC1053" w:rsidRDefault="00000000">
      <w:pPr>
        <w:spacing w:after="160"/>
      </w:pPr>
      <w:r>
        <w:rPr>
          <w:b/>
          <w:bCs/>
        </w:rPr>
        <w:t>[Your Name], [Credentials]</w:t>
      </w:r>
    </w:p>
    <w:p w:rsidR="00BC1053" w:rsidRDefault="00000000">
      <w:pPr>
        <w:spacing w:after="160"/>
      </w:pPr>
      <w:r>
        <w:t xml:space="preserve">[Your </w:t>
      </w:r>
      <w:proofErr w:type="gramStart"/>
      <w:r>
        <w:t>Organization]  |</w:t>
      </w:r>
      <w:proofErr w:type="gramEnd"/>
      <w:r>
        <w:t xml:space="preserve">  [Email]</w:t>
      </w:r>
    </w:p>
    <w:p w:rsidR="00BC1053" w:rsidRDefault="00BC1053">
      <w:pPr>
        <w:spacing w:after="80"/>
      </w:pPr>
    </w:p>
    <w:p w:rsidR="00BC1053" w:rsidRDefault="00CB6494" w:rsidP="00CB6494">
      <w:pPr>
        <w:spacing w:after="160"/>
        <w:jc w:val="right"/>
      </w:pPr>
      <w:r>
        <w:t>[Date]</w:t>
      </w:r>
    </w:p>
    <w:p w:rsidR="00BC1053" w:rsidRDefault="00BC1053">
      <w:pPr>
        <w:spacing w:after="80"/>
      </w:pPr>
    </w:p>
    <w:p w:rsidR="00BC1053" w:rsidRDefault="00000000">
      <w:pPr>
        <w:spacing w:after="160"/>
      </w:pPr>
      <w:r>
        <w:t>Dear [Name],</w:t>
      </w:r>
    </w:p>
    <w:p w:rsidR="00BC1053" w:rsidRDefault="00BC1053">
      <w:pPr>
        <w:spacing w:after="80"/>
      </w:pPr>
    </w:p>
    <w:p w:rsidR="00BC1053" w:rsidRDefault="00000000">
      <w:pPr>
        <w:spacing w:after="160"/>
      </w:pPr>
      <w:r>
        <w:t>I’m reaching out because I think you’d want to know about something that’s been happening in our field — something that directly affects your practice, your clients, and your ability to operate independently — and that most of us never voted for.</w:t>
      </w:r>
    </w:p>
    <w:p w:rsidR="00BC1053" w:rsidRDefault="00000000">
      <w:pPr>
        <w:spacing w:after="160"/>
      </w:pPr>
      <w:r>
        <w:t>There is an organization called the Council of Autism Service Providers (CASP). If you haven’t heard of them, that’s worth noting on its own — because they’ve been speaking for you anyway.</w:t>
      </w:r>
    </w:p>
    <w:p w:rsidR="00BC1053" w:rsidRDefault="00000000">
      <w:pPr>
        <w:spacing w:after="160"/>
      </w:pPr>
      <w:r>
        <w:t>CASP is a 501(c)(6) trade association — a legal structure that exists to advance the business interests of its dues-paying members. Its board is composed entirely of CEOs and Executive Directors of large, multi-state ABA provider companies. Since 2009, it has systematically positioned itself as the authoritative voice of our entire field — to payers, to state Medicaid programs, to federal agencies including CMS, TRICARE, and the Department of Labor.</w:t>
      </w:r>
    </w:p>
    <w:p w:rsidR="00BC1053" w:rsidRDefault="00000000">
      <w:pPr>
        <w:spacing w:after="160"/>
      </w:pPr>
      <w:r>
        <w:rPr>
          <w:i/>
          <w:iCs/>
        </w:rPr>
        <w:t>No election was held. No field-wide process occurred. Nobody asked us.</w:t>
      </w:r>
    </w:p>
    <w:p w:rsidR="00BC1053" w:rsidRDefault="00000000">
      <w:pPr>
        <w:spacing w:after="160"/>
      </w:pPr>
      <w:r>
        <w:t>Here is what CASP has built with that self-appointed authority:</w:t>
      </w:r>
    </w:p>
    <w:p w:rsidR="00BC1053" w:rsidRDefault="00000000">
      <w:pPr>
        <w:pStyle w:val="ListParagraph"/>
        <w:numPr>
          <w:ilvl w:val="0"/>
          <w:numId w:val="2"/>
        </w:numPr>
        <w:spacing w:after="100"/>
      </w:pPr>
      <w:r>
        <w:rPr>
          <w:b/>
          <w:bCs/>
        </w:rPr>
        <w:t>It owns two ABA accreditation bodies</w:t>
      </w:r>
      <w:r>
        <w:t xml:space="preserve"> — ACQ and BHCOE — and has successfully lobbied more than a dozen payer entities to require accreditation from one of them as a condition of network participation. Every provider who complies pays fees to a subsidiary of the trade association whose members they compete with.</w:t>
      </w:r>
    </w:p>
    <w:p w:rsidR="00BC1053" w:rsidRDefault="00000000">
      <w:pPr>
        <w:pStyle w:val="ListParagraph"/>
        <w:numPr>
          <w:ilvl w:val="0"/>
          <w:numId w:val="2"/>
        </w:numPr>
        <w:spacing w:after="100"/>
      </w:pPr>
      <w:r>
        <w:rPr>
          <w:b/>
          <w:bCs/>
        </w:rPr>
        <w:t>It received the BACB’s ABA Practice Guidelines in 2020 and now monetizes them</w:t>
      </w:r>
      <w:r>
        <w:t xml:space="preserve"> — while simultaneously lobbying against the requirement that frontline practitioners hold the BACB’s own credential. The organization that stewards the guidelines is actively working to prevent the requirement that the people delivering services under them be certified.</w:t>
      </w:r>
    </w:p>
    <w:p w:rsidR="00BC1053" w:rsidRDefault="00000000">
      <w:pPr>
        <w:pStyle w:val="ListParagraph"/>
        <w:numPr>
          <w:ilvl w:val="0"/>
          <w:numId w:val="2"/>
        </w:numPr>
        <w:spacing w:after="100"/>
      </w:pPr>
      <w:r>
        <w:rPr>
          <w:b/>
          <w:bCs/>
        </w:rPr>
        <w:t xml:space="preserve">It partners with </w:t>
      </w:r>
      <w:proofErr w:type="spellStart"/>
      <w:r>
        <w:rPr>
          <w:b/>
          <w:bCs/>
        </w:rPr>
        <w:t>CentralReach</w:t>
      </w:r>
      <w:proofErr w:type="spellEnd"/>
      <w:r>
        <w:t xml:space="preserve"> — a $1.65 billion software company — to build the network adequacy models it presents to payers. </w:t>
      </w:r>
      <w:proofErr w:type="spellStart"/>
      <w:r>
        <w:t>CentralReach’s</w:t>
      </w:r>
      <w:proofErr w:type="spellEnd"/>
      <w:r>
        <w:t xml:space="preserve"> data comes primarily from large provider organizations. Independent practices using other systems appear less “adequate” in those models — not because their clinical work is inferior, but because their data doesn’t flow through the right platform.</w:t>
      </w:r>
    </w:p>
    <w:p w:rsidR="00BC1053" w:rsidRDefault="00000000">
      <w:pPr>
        <w:pStyle w:val="ListParagraph"/>
        <w:numPr>
          <w:ilvl w:val="0"/>
          <w:numId w:val="2"/>
        </w:numPr>
        <w:spacing w:after="100"/>
      </w:pPr>
      <w:r>
        <w:rPr>
          <w:b/>
          <w:bCs/>
        </w:rPr>
        <w:lastRenderedPageBreak/>
        <w:t>It holds a BACB-Authorized CEU provider designation</w:t>
      </w:r>
      <w:r>
        <w:t xml:space="preserve"> and sells over 70 courses worth more than 100 CEUs — including training it positions as required to properly use the guidelines it controls. The organization writing the rules is also charging you for the training required to follow them.</w:t>
      </w:r>
    </w:p>
    <w:p w:rsidR="00BC1053" w:rsidRDefault="00BC1053">
      <w:pPr>
        <w:spacing w:after="80"/>
      </w:pPr>
    </w:p>
    <w:p w:rsidR="00BC1053" w:rsidRDefault="00000000">
      <w:pPr>
        <w:spacing w:after="160"/>
      </w:pPr>
      <w:r>
        <w:t>CASP’s own CEO acknowledged in early 2026 that its accreditation subsidiary “wouldn’t have been able to make ends meet” without CASP’s direct financial support — confirming that the body payers are being lobbied to require cannot sustain itself without the trade association whose members it accredits.</w:t>
      </w:r>
    </w:p>
    <w:p w:rsidR="00BC1053" w:rsidRDefault="00000000">
      <w:pPr>
        <w:spacing w:after="160"/>
      </w:pPr>
      <w:r>
        <w:t>None of this was put to a vote. None of it reflects input from the independent clinicians and small providers who deliver the majority of ABA services in this country. The compliance ecosystem being constructed in our name was designed by executives of large corporations, for the operational realities of large corporations.</w:t>
      </w:r>
    </w:p>
    <w:p w:rsidR="00BC1053" w:rsidRDefault="00000000">
      <w:pPr>
        <w:spacing w:after="160"/>
      </w:pPr>
      <w:r>
        <w:t xml:space="preserve">I’m not asking you to do anything right now except read the full documentation and ask yourself whether this concerns you too. Everything is sourced from CASP’s own public materials at </w:t>
      </w:r>
      <w:r>
        <w:rPr>
          <w:b/>
          <w:bCs/>
        </w:rPr>
        <w:t>abaaccountabilityproject.org</w:t>
      </w:r>
      <w:r>
        <w:t>.</w:t>
      </w:r>
    </w:p>
    <w:p w:rsidR="00BC1053" w:rsidRDefault="00000000">
      <w:pPr>
        <w:spacing w:after="160"/>
      </w:pPr>
      <w:r>
        <w:t>If it does concern you — I’d like to talk.</w:t>
      </w:r>
    </w:p>
    <w:p w:rsidR="00BC1053" w:rsidRDefault="00BC1053">
      <w:pPr>
        <w:spacing w:after="80"/>
      </w:pPr>
    </w:p>
    <w:p w:rsidR="00BC1053" w:rsidRDefault="00000000">
      <w:pPr>
        <w:spacing w:after="160"/>
      </w:pPr>
      <w:r>
        <w:t>With respect and solidarity,</w:t>
      </w:r>
    </w:p>
    <w:p w:rsidR="00BC1053" w:rsidRDefault="00BC1053">
      <w:pPr>
        <w:spacing w:after="80"/>
      </w:pPr>
    </w:p>
    <w:p w:rsidR="00BC1053" w:rsidRDefault="00000000">
      <w:pPr>
        <w:spacing w:after="160"/>
      </w:pPr>
      <w:r>
        <w:rPr>
          <w:b/>
          <w:bCs/>
        </w:rPr>
        <w:t>[Your Name], [Credentials]</w:t>
      </w:r>
    </w:p>
    <w:p w:rsidR="00BC1053" w:rsidRDefault="00000000">
      <w:pPr>
        <w:spacing w:after="160"/>
      </w:pPr>
      <w:r>
        <w:t>[</w:t>
      </w:r>
      <w:proofErr w:type="gramStart"/>
      <w:r>
        <w:t>Organization]  |</w:t>
      </w:r>
      <w:proofErr w:type="gramEnd"/>
      <w:r>
        <w:t xml:space="preserve">  [Email]</w:t>
      </w:r>
    </w:p>
    <w:p w:rsidR="00BC1053" w:rsidRDefault="00BC1053">
      <w:pPr>
        <w:spacing w:after="80"/>
      </w:pPr>
    </w:p>
    <w:p w:rsidR="00BC1053" w:rsidRDefault="00000000">
      <w:r>
        <w:br w:type="page"/>
      </w:r>
    </w:p>
    <w:p w:rsidR="00BC1053" w:rsidRDefault="00000000">
      <w:pPr>
        <w:spacing w:after="40"/>
      </w:pPr>
      <w:r>
        <w:rPr>
          <w:b/>
          <w:bCs/>
          <w:color w:val="8B0000"/>
          <w:sz w:val="20"/>
          <w:szCs w:val="20"/>
        </w:rPr>
        <w:lastRenderedPageBreak/>
        <w:t>LETTER B</w:t>
      </w:r>
    </w:p>
    <w:p w:rsidR="00BC1053" w:rsidRDefault="00000000">
      <w:pPr>
        <w:spacing w:after="240"/>
      </w:pPr>
      <w:r>
        <w:rPr>
          <w:i/>
          <w:iCs/>
          <w:color w:val="666666"/>
          <w:sz w:val="20"/>
          <w:szCs w:val="20"/>
        </w:rPr>
        <w:t>For CASP members and field-engaged colleagues</w:t>
      </w:r>
    </w:p>
    <w:p w:rsidR="00BC1053" w:rsidRDefault="00000000">
      <w:pPr>
        <w:spacing w:after="160"/>
      </w:pPr>
      <w:r>
        <w:rPr>
          <w:b/>
          <w:bCs/>
        </w:rPr>
        <w:t>[Your Name], [Credentials]</w:t>
      </w:r>
    </w:p>
    <w:p w:rsidR="00BC1053" w:rsidRDefault="00000000">
      <w:pPr>
        <w:spacing w:after="160"/>
      </w:pPr>
      <w:r>
        <w:t>[Your Organization]</w:t>
      </w:r>
      <w:r w:rsidR="00CB6494">
        <w:br/>
      </w:r>
      <w:r>
        <w:t>[Email]</w:t>
      </w:r>
    </w:p>
    <w:p w:rsidR="00BC1053" w:rsidRDefault="00BC1053">
      <w:pPr>
        <w:spacing w:after="80"/>
      </w:pPr>
    </w:p>
    <w:p w:rsidR="00BC1053" w:rsidRDefault="00CB6494" w:rsidP="00CB6494">
      <w:pPr>
        <w:spacing w:after="160"/>
        <w:jc w:val="right"/>
      </w:pPr>
      <w:r>
        <w:t>[Date]</w:t>
      </w:r>
    </w:p>
    <w:p w:rsidR="00BC1053" w:rsidRDefault="00BC1053">
      <w:pPr>
        <w:spacing w:after="80"/>
      </w:pPr>
    </w:p>
    <w:p w:rsidR="00BC1053" w:rsidRDefault="00000000">
      <w:pPr>
        <w:spacing w:after="160"/>
      </w:pPr>
      <w:r>
        <w:t>Dear [Name],</w:t>
      </w:r>
    </w:p>
    <w:p w:rsidR="00BC1053" w:rsidRDefault="00BC1053">
      <w:pPr>
        <w:spacing w:after="80"/>
      </w:pPr>
    </w:p>
    <w:p w:rsidR="00BC1053" w:rsidRDefault="00000000">
      <w:pPr>
        <w:spacing w:after="160"/>
      </w:pPr>
      <w:r>
        <w:t>You know CASP. Maybe you’ve attended the conference, used the CEU library, or benefited from their state advocacy work. I get it — they offer real resources, and I’m not writing to tell you those resources have no value.</w:t>
      </w:r>
    </w:p>
    <w:p w:rsidR="00BC1053" w:rsidRDefault="00000000">
      <w:pPr>
        <w:spacing w:after="160"/>
      </w:pPr>
      <w:r>
        <w:t>I’m writing because I think there are things happening inside CASP’s governance that most members don’t know about — and that, if you did know, would change how you feel about the organization representing you to payers and regulators.</w:t>
      </w:r>
    </w:p>
    <w:p w:rsidR="00BC1053" w:rsidRDefault="00000000">
      <w:pPr>
        <w:spacing w:after="160"/>
      </w:pPr>
      <w:r>
        <w:t>Here’s what I mean.</w:t>
      </w:r>
    </w:p>
    <w:p w:rsidR="00BC1053" w:rsidRDefault="00000000">
      <w:pPr>
        <w:spacing w:before="200" w:after="100"/>
      </w:pPr>
      <w:r>
        <w:rPr>
          <w:b/>
          <w:bCs/>
        </w:rPr>
        <w:t>CASP’s board is composed entirely of CEOs of its own member organizations.</w:t>
      </w:r>
    </w:p>
    <w:p w:rsidR="00BC1053" w:rsidRDefault="00000000">
      <w:pPr>
        <w:spacing w:after="160"/>
      </w:pPr>
      <w:r>
        <w:t>Every standard it sets, every accreditation criterion it establishes, every lobbying priority it funds — decided by people whose companies directly benefit from those decisions. This isn’t a technicality. In every other healthcare field, this kind of structure is specifically prohibited in standards bodies for exactly this reason.</w:t>
      </w:r>
    </w:p>
    <w:p w:rsidR="00BC1053" w:rsidRDefault="00000000">
      <w:pPr>
        <w:spacing w:before="200" w:after="100"/>
      </w:pPr>
      <w:r>
        <w:rPr>
          <w:b/>
          <w:bCs/>
        </w:rPr>
        <w:t>CASP owns both major ABA accreditation programs.</w:t>
      </w:r>
    </w:p>
    <w:p w:rsidR="00BC1053" w:rsidRDefault="00000000">
      <w:pPr>
        <w:spacing w:after="160"/>
      </w:pPr>
      <w:r>
        <w:t>ACQ and BHCOE are now both under CASP. It has successfully lobbied more than a dozen payer entities to require one of them as a network condition. Its own CEO confirmed ACQ “wouldn’t have been able to make ends meet” without CASP’s financial support. That’s not an independent accreditation body. That’s a revenue stream for the trade association whose members you compete with.</w:t>
      </w:r>
    </w:p>
    <w:p w:rsidR="00BC1053" w:rsidRDefault="00000000">
      <w:pPr>
        <w:spacing w:before="200" w:after="100"/>
      </w:pPr>
      <w:r>
        <w:rPr>
          <w:b/>
          <w:bCs/>
        </w:rPr>
        <w:t>CASP stewards the BACB’s clinical guidelines while lobbying against mandatory RBT enrollment.</w:t>
      </w:r>
    </w:p>
    <w:p w:rsidR="00BC1053" w:rsidRDefault="00000000">
      <w:pPr>
        <w:spacing w:after="160"/>
      </w:pPr>
      <w:r>
        <w:t>In Indiana, they deployed lobbyists specifically to defeat that requirement. Federally, they advocate for staffing classifications broad enough to bill for uncredentialed direct service staff. The organization holding the field’s clinical guidelines is actively protecting the ability to staff without meeting those guidelines’ own credentialing standards. Your clients bear the cost of that.</w:t>
      </w:r>
    </w:p>
    <w:p w:rsidR="00BC1053" w:rsidRDefault="00000000">
      <w:pPr>
        <w:spacing w:before="200" w:after="100"/>
      </w:pPr>
      <w:r>
        <w:rPr>
          <w:b/>
          <w:bCs/>
        </w:rPr>
        <w:t>You are being charged for access to the standards set in your name.</w:t>
      </w:r>
    </w:p>
    <w:p w:rsidR="00BC1053" w:rsidRDefault="00000000">
      <w:pPr>
        <w:spacing w:after="160"/>
      </w:pPr>
      <w:r>
        <w:lastRenderedPageBreak/>
        <w:t>CASP holds a BACB-Authorized CEU designation and sells over 100 CEUs worth of courses — including training it positions as required to use the ABA Practice Guidelines it controls. The organization writing the rules is also selling the training required to follow them. To practitioners who must complete CEUs to maintain the very credential CASP’s guidelines invoke.</w:t>
      </w:r>
    </w:p>
    <w:p w:rsidR="00BC1053" w:rsidRDefault="00000000">
      <w:pPr>
        <w:spacing w:before="200" w:after="100"/>
      </w:pPr>
      <w:r>
        <w:rPr>
          <w:b/>
          <w:bCs/>
        </w:rPr>
        <w:t xml:space="preserve">If you use a different system than </w:t>
      </w:r>
      <w:proofErr w:type="spellStart"/>
      <w:r>
        <w:rPr>
          <w:b/>
          <w:bCs/>
        </w:rPr>
        <w:t>CentralReach</w:t>
      </w:r>
      <w:proofErr w:type="spellEnd"/>
      <w:r>
        <w:rPr>
          <w:b/>
          <w:bCs/>
        </w:rPr>
        <w:t>, your practice may be invisible.</w:t>
      </w:r>
    </w:p>
    <w:p w:rsidR="00BC1053" w:rsidRDefault="00000000">
      <w:pPr>
        <w:spacing w:after="160"/>
      </w:pPr>
      <w:r>
        <w:t>CASP’s data partner — acquired last year for $1.65 billion — provides the data behind CASP’s “proprietary network adequacy model” it presents to payers. That data comes primarily from large provider organizations. Independent practices using other systems may appear less adequate — not because their clinical work is inferior, but because their data doesn’t flow through the right ecosystem.</w:t>
      </w:r>
    </w:p>
    <w:p w:rsidR="00BC1053" w:rsidRDefault="00000000">
      <w:pPr>
        <w:spacing w:before="200" w:after="100"/>
      </w:pPr>
      <w:r>
        <w:rPr>
          <w:b/>
          <w:bCs/>
        </w:rPr>
        <w:t>And about APBA.</w:t>
      </w:r>
    </w:p>
    <w:p w:rsidR="00BC1053" w:rsidRDefault="00000000">
      <w:pPr>
        <w:spacing w:after="160"/>
      </w:pPr>
      <w:r>
        <w:t>The organization founded specifically to represent individual credentialed practitioners like us gave its 2026 advocacy award to CASP’s VP of Government Affairs, who came directly from a KKR-backed PE corporation. The organization that was supposed to be our independent voice is embedded in the same institutional ecosystem we need it to push back against.</w:t>
      </w:r>
    </w:p>
    <w:p w:rsidR="00BC1053" w:rsidRDefault="00BC1053">
      <w:pPr>
        <w:spacing w:after="80"/>
      </w:pPr>
    </w:p>
    <w:p w:rsidR="00BC1053" w:rsidRDefault="00CB6494">
      <w:pPr>
        <w:spacing w:after="160"/>
      </w:pPr>
      <w:r>
        <w:t xml:space="preserve">There is a </w:t>
      </w:r>
      <w:r w:rsidR="00000000">
        <w:t>full position statement documenting all of this — every claim sourced from CASP’s own public materials and its leadership’s own public statements</w:t>
      </w:r>
      <w:r>
        <w:t xml:space="preserve">, </w:t>
      </w:r>
      <w:r w:rsidR="00000000">
        <w:t xml:space="preserve">at </w:t>
      </w:r>
      <w:r w:rsidR="00000000">
        <w:rPr>
          <w:b/>
          <w:bCs/>
        </w:rPr>
        <w:t>abaaccountabilityproject.org</w:t>
      </w:r>
      <w:r w:rsidR="00000000">
        <w:t>.</w:t>
      </w:r>
    </w:p>
    <w:p w:rsidR="00BC1053" w:rsidRDefault="00000000">
      <w:pPr>
        <w:spacing w:after="160"/>
      </w:pPr>
      <w:r>
        <w:t>I’m asking two things: read it, and tell me honestly whether you think this is the organization that should be setting the standards for our field.</w:t>
      </w:r>
    </w:p>
    <w:p w:rsidR="00BC1053" w:rsidRDefault="00BC1053">
      <w:pPr>
        <w:spacing w:after="80"/>
      </w:pPr>
    </w:p>
    <w:p w:rsidR="00BC1053" w:rsidRDefault="00000000">
      <w:pPr>
        <w:spacing w:after="160"/>
      </w:pPr>
      <w:r>
        <w:t>With respect and solidarity,</w:t>
      </w:r>
    </w:p>
    <w:p w:rsidR="00BC1053" w:rsidRDefault="00BC1053">
      <w:pPr>
        <w:spacing w:after="80"/>
      </w:pPr>
    </w:p>
    <w:p w:rsidR="00BC1053" w:rsidRDefault="00CB6494">
      <w:pPr>
        <w:spacing w:after="160"/>
      </w:pPr>
      <w:r>
        <w:rPr>
          <w:b/>
          <w:bCs/>
        </w:rPr>
        <w:t>[Name, credentials]</w:t>
      </w:r>
    </w:p>
    <w:p w:rsidR="00BC1053" w:rsidRDefault="00000000">
      <w:pPr>
        <w:spacing w:after="160"/>
      </w:pPr>
      <w:r>
        <w:t>[</w:t>
      </w:r>
      <w:proofErr w:type="gramStart"/>
      <w:r>
        <w:t>Organization]  |</w:t>
      </w:r>
      <w:proofErr w:type="gramEnd"/>
      <w:r>
        <w:t xml:space="preserve"> </w:t>
      </w:r>
      <w:r w:rsidR="00CB6494">
        <w:br/>
      </w:r>
      <w:r>
        <w:t>[Email]</w:t>
      </w:r>
    </w:p>
    <w:p w:rsidR="00BC1053" w:rsidRDefault="00BC1053">
      <w:pPr>
        <w:spacing w:after="80"/>
      </w:pPr>
    </w:p>
    <w:p w:rsidR="00BC1053" w:rsidRDefault="00BC1053">
      <w:pPr>
        <w:spacing w:after="160"/>
      </w:pPr>
    </w:p>
    <w:sectPr w:rsidR="00BC105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C4035"/>
    <w:multiLevelType w:val="hybridMultilevel"/>
    <w:tmpl w:val="F3B03A40"/>
    <w:lvl w:ilvl="0" w:tplc="04C2F016">
      <w:start w:val="1"/>
      <w:numFmt w:val="bullet"/>
      <w:lvlText w:val="•"/>
      <w:lvlJc w:val="left"/>
      <w:pPr>
        <w:ind w:left="720" w:hanging="360"/>
      </w:pPr>
    </w:lvl>
    <w:lvl w:ilvl="1" w:tplc="2FCAE87A">
      <w:numFmt w:val="decimal"/>
      <w:lvlText w:val=""/>
      <w:lvlJc w:val="left"/>
    </w:lvl>
    <w:lvl w:ilvl="2" w:tplc="1DDA7644">
      <w:numFmt w:val="decimal"/>
      <w:lvlText w:val=""/>
      <w:lvlJc w:val="left"/>
    </w:lvl>
    <w:lvl w:ilvl="3" w:tplc="73367BD4">
      <w:numFmt w:val="decimal"/>
      <w:lvlText w:val=""/>
      <w:lvlJc w:val="left"/>
    </w:lvl>
    <w:lvl w:ilvl="4" w:tplc="D0F047A2">
      <w:numFmt w:val="decimal"/>
      <w:lvlText w:val=""/>
      <w:lvlJc w:val="left"/>
    </w:lvl>
    <w:lvl w:ilvl="5" w:tplc="6706ACC6">
      <w:numFmt w:val="decimal"/>
      <w:lvlText w:val=""/>
      <w:lvlJc w:val="left"/>
    </w:lvl>
    <w:lvl w:ilvl="6" w:tplc="D99E079C">
      <w:numFmt w:val="decimal"/>
      <w:lvlText w:val=""/>
      <w:lvlJc w:val="left"/>
    </w:lvl>
    <w:lvl w:ilvl="7" w:tplc="30384C62">
      <w:numFmt w:val="decimal"/>
      <w:lvlText w:val=""/>
      <w:lvlJc w:val="left"/>
    </w:lvl>
    <w:lvl w:ilvl="8" w:tplc="E2AEBBFA">
      <w:numFmt w:val="decimal"/>
      <w:lvlText w:val=""/>
      <w:lvlJc w:val="left"/>
    </w:lvl>
  </w:abstractNum>
  <w:abstractNum w:abstractNumId="1" w15:restartNumberingAfterBreak="0">
    <w:nsid w:val="62F50CBC"/>
    <w:multiLevelType w:val="hybridMultilevel"/>
    <w:tmpl w:val="74A41FBC"/>
    <w:lvl w:ilvl="0" w:tplc="BB22975A">
      <w:start w:val="1"/>
      <w:numFmt w:val="bullet"/>
      <w:lvlText w:val="●"/>
      <w:lvlJc w:val="left"/>
      <w:pPr>
        <w:ind w:left="720" w:hanging="360"/>
      </w:pPr>
    </w:lvl>
    <w:lvl w:ilvl="1" w:tplc="DA3E082A">
      <w:start w:val="1"/>
      <w:numFmt w:val="bullet"/>
      <w:lvlText w:val="○"/>
      <w:lvlJc w:val="left"/>
      <w:pPr>
        <w:ind w:left="1440" w:hanging="360"/>
      </w:pPr>
    </w:lvl>
    <w:lvl w:ilvl="2" w:tplc="9F02B7A2">
      <w:start w:val="1"/>
      <w:numFmt w:val="bullet"/>
      <w:lvlText w:val="■"/>
      <w:lvlJc w:val="left"/>
      <w:pPr>
        <w:ind w:left="2160" w:hanging="360"/>
      </w:pPr>
    </w:lvl>
    <w:lvl w:ilvl="3" w:tplc="4FA03EA8">
      <w:start w:val="1"/>
      <w:numFmt w:val="bullet"/>
      <w:lvlText w:val="●"/>
      <w:lvlJc w:val="left"/>
      <w:pPr>
        <w:ind w:left="2880" w:hanging="360"/>
      </w:pPr>
    </w:lvl>
    <w:lvl w:ilvl="4" w:tplc="1DCEE918">
      <w:start w:val="1"/>
      <w:numFmt w:val="bullet"/>
      <w:lvlText w:val="○"/>
      <w:lvlJc w:val="left"/>
      <w:pPr>
        <w:ind w:left="3600" w:hanging="360"/>
      </w:pPr>
    </w:lvl>
    <w:lvl w:ilvl="5" w:tplc="D49CE660">
      <w:start w:val="1"/>
      <w:numFmt w:val="bullet"/>
      <w:lvlText w:val="■"/>
      <w:lvlJc w:val="left"/>
      <w:pPr>
        <w:ind w:left="4320" w:hanging="360"/>
      </w:pPr>
    </w:lvl>
    <w:lvl w:ilvl="6" w:tplc="8B328B9C">
      <w:start w:val="1"/>
      <w:numFmt w:val="bullet"/>
      <w:lvlText w:val="●"/>
      <w:lvlJc w:val="left"/>
      <w:pPr>
        <w:ind w:left="5040" w:hanging="360"/>
      </w:pPr>
    </w:lvl>
    <w:lvl w:ilvl="7" w:tplc="83ACC080">
      <w:start w:val="1"/>
      <w:numFmt w:val="bullet"/>
      <w:lvlText w:val="●"/>
      <w:lvlJc w:val="left"/>
      <w:pPr>
        <w:ind w:left="5760" w:hanging="360"/>
      </w:pPr>
    </w:lvl>
    <w:lvl w:ilvl="8" w:tplc="A3487206">
      <w:start w:val="1"/>
      <w:numFmt w:val="bullet"/>
      <w:lvlText w:val="●"/>
      <w:lvlJc w:val="left"/>
      <w:pPr>
        <w:ind w:left="6480" w:hanging="360"/>
      </w:pPr>
    </w:lvl>
  </w:abstractNum>
  <w:num w:numId="1" w16cid:durableId="70008323">
    <w:abstractNumId w:val="1"/>
    <w:lvlOverride w:ilvl="0">
      <w:startOverride w:val="1"/>
    </w:lvlOverride>
  </w:num>
  <w:num w:numId="2" w16cid:durableId="8958223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053"/>
    <w:rsid w:val="00320131"/>
    <w:rsid w:val="004A4B38"/>
    <w:rsid w:val="00BC1053"/>
    <w:rsid w:val="00BE6ED2"/>
    <w:rsid w:val="00CB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43EB1D"/>
  <w15:docId w15:val="{78D7DBA5-98E6-F54D-AECB-BBC940C6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3</cp:revision>
  <dcterms:created xsi:type="dcterms:W3CDTF">2026-04-08T18:20:00Z</dcterms:created>
  <dcterms:modified xsi:type="dcterms:W3CDTF">2026-04-09T18:11:00Z</dcterms:modified>
</cp:coreProperties>
</file>