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9F1D" w14:textId="77777777" w:rsidR="00366217" w:rsidRPr="0092246F" w:rsidRDefault="00366217" w:rsidP="008B520F">
      <w:pPr>
        <w:spacing w:line="240" w:lineRule="auto"/>
        <w:jc w:val="center"/>
        <w:rPr>
          <w:rFonts w:asciiTheme="majorHAnsi" w:hAnsiTheme="majorHAnsi" w:cstheme="majorHAnsi"/>
          <w:szCs w:val="24"/>
        </w:rPr>
      </w:pPr>
    </w:p>
    <w:p w14:paraId="6EF7FB98" w14:textId="77777777" w:rsidR="000A4DF9" w:rsidRPr="0092246F" w:rsidRDefault="000A4DF9" w:rsidP="003A6B2B">
      <w:pPr>
        <w:spacing w:after="30" w:line="240" w:lineRule="auto"/>
        <w:jc w:val="right"/>
        <w:rPr>
          <w:rFonts w:asciiTheme="majorHAnsi" w:eastAsia="Times New Roman" w:hAnsiTheme="majorHAnsi" w:cstheme="majorHAnsi"/>
          <w:szCs w:val="24"/>
        </w:rPr>
      </w:pPr>
      <w:r w:rsidRPr="0092246F">
        <w:rPr>
          <w:rFonts w:asciiTheme="majorHAnsi" w:eastAsia="Times New Roman" w:hAnsiTheme="majorHAnsi" w:cstheme="majorHAnsi"/>
          <w:szCs w:val="24"/>
        </w:rPr>
        <w:t xml:space="preserve">Kirstin </w:t>
      </w:r>
      <w:r w:rsidRPr="000A4DF9">
        <w:rPr>
          <w:rFonts w:asciiTheme="majorHAnsi" w:eastAsia="Times New Roman" w:hAnsiTheme="majorHAnsi" w:cstheme="majorHAnsi"/>
          <w:szCs w:val="24"/>
        </w:rPr>
        <w:t xml:space="preserve">Hall, </w:t>
      </w:r>
      <w:r w:rsidRPr="0092246F">
        <w:rPr>
          <w:rFonts w:asciiTheme="majorHAnsi" w:eastAsia="Times New Roman" w:hAnsiTheme="majorHAnsi" w:cstheme="majorHAnsi"/>
          <w:szCs w:val="24"/>
        </w:rPr>
        <w:t xml:space="preserve">MS, </w:t>
      </w:r>
      <w:r w:rsidRPr="000A4DF9">
        <w:rPr>
          <w:rFonts w:asciiTheme="majorHAnsi" w:eastAsia="Times New Roman" w:hAnsiTheme="majorHAnsi" w:cstheme="majorHAnsi"/>
          <w:szCs w:val="24"/>
        </w:rPr>
        <w:t xml:space="preserve">BCBA </w:t>
      </w:r>
    </w:p>
    <w:p w14:paraId="6B2765C8" w14:textId="77777777" w:rsidR="000A4DF9" w:rsidRPr="0092246F" w:rsidRDefault="000A4DF9" w:rsidP="003A6B2B">
      <w:pPr>
        <w:spacing w:after="30" w:line="240" w:lineRule="auto"/>
        <w:jc w:val="right"/>
        <w:rPr>
          <w:rFonts w:asciiTheme="majorHAnsi" w:eastAsia="Times New Roman" w:hAnsiTheme="majorHAnsi" w:cstheme="majorHAnsi"/>
          <w:szCs w:val="24"/>
        </w:rPr>
      </w:pPr>
      <w:r w:rsidRPr="000A4DF9">
        <w:rPr>
          <w:rFonts w:asciiTheme="majorHAnsi" w:eastAsia="Times New Roman" w:hAnsiTheme="majorHAnsi" w:cstheme="majorHAnsi"/>
          <w:szCs w:val="24"/>
        </w:rPr>
        <w:t xml:space="preserve">ABA Accountability Project </w:t>
      </w:r>
    </w:p>
    <w:p w14:paraId="3E05111B" w14:textId="1C63ED6B" w:rsidR="000A4DF9" w:rsidRPr="0092246F" w:rsidRDefault="000A4DF9" w:rsidP="003A6B2B">
      <w:pPr>
        <w:spacing w:after="30" w:line="240" w:lineRule="auto"/>
        <w:jc w:val="right"/>
        <w:rPr>
          <w:rFonts w:asciiTheme="majorHAnsi" w:eastAsia="Times New Roman" w:hAnsiTheme="majorHAnsi" w:cstheme="majorHAnsi"/>
          <w:szCs w:val="24"/>
        </w:rPr>
      </w:pPr>
      <w:r w:rsidRPr="0092246F">
        <w:rPr>
          <w:rFonts w:asciiTheme="majorHAnsi" w:eastAsia="Times New Roman" w:hAnsiTheme="majorHAnsi" w:cstheme="majorHAnsi"/>
          <w:szCs w:val="24"/>
        </w:rPr>
        <w:t>3505 Camino Del Rio S, Ste 200</w:t>
      </w:r>
    </w:p>
    <w:p w14:paraId="1DE8D199" w14:textId="35A01F6D" w:rsidR="000A4DF9" w:rsidRPr="0092246F" w:rsidRDefault="000A4DF9" w:rsidP="003A6B2B">
      <w:pPr>
        <w:spacing w:after="30" w:line="240" w:lineRule="auto"/>
        <w:jc w:val="right"/>
        <w:rPr>
          <w:rFonts w:asciiTheme="majorHAnsi" w:eastAsia="Times New Roman" w:hAnsiTheme="majorHAnsi" w:cstheme="majorHAnsi"/>
          <w:szCs w:val="24"/>
        </w:rPr>
      </w:pPr>
      <w:r w:rsidRPr="0092246F">
        <w:rPr>
          <w:rFonts w:asciiTheme="majorHAnsi" w:eastAsia="Times New Roman" w:hAnsiTheme="majorHAnsi" w:cstheme="majorHAnsi"/>
          <w:szCs w:val="24"/>
        </w:rPr>
        <w:t>San Diego, CA 92108</w:t>
      </w:r>
    </w:p>
    <w:p w14:paraId="1407B21B" w14:textId="15B2CFFB" w:rsidR="000A4DF9" w:rsidRPr="0092246F" w:rsidRDefault="000A4DF9" w:rsidP="003A6B2B">
      <w:pPr>
        <w:spacing w:after="30" w:line="240" w:lineRule="auto"/>
        <w:rPr>
          <w:rFonts w:asciiTheme="majorHAnsi" w:eastAsia="Times New Roman" w:hAnsiTheme="majorHAnsi" w:cstheme="majorHAnsi"/>
          <w:szCs w:val="24"/>
        </w:rPr>
      </w:pPr>
      <w:r w:rsidRPr="000A4DF9">
        <w:rPr>
          <w:rFonts w:asciiTheme="majorHAnsi" w:eastAsia="Times New Roman" w:hAnsiTheme="majorHAnsi" w:cstheme="majorHAnsi"/>
          <w:szCs w:val="24"/>
        </w:rPr>
        <w:t>Board of Directors</w:t>
      </w:r>
      <w:r w:rsidR="0092246F" w:rsidRPr="0092246F">
        <w:rPr>
          <w:rFonts w:asciiTheme="majorHAnsi" w:eastAsia="Times New Roman" w:hAnsiTheme="majorHAnsi" w:cstheme="majorHAnsi"/>
          <w:szCs w:val="24"/>
        </w:rPr>
        <w:t xml:space="preserve">: </w:t>
      </w:r>
      <w:r w:rsidRPr="000A4DF9">
        <w:rPr>
          <w:rFonts w:asciiTheme="majorHAnsi" w:eastAsia="Times New Roman" w:hAnsiTheme="majorHAnsi" w:cstheme="majorHAnsi"/>
          <w:szCs w:val="24"/>
        </w:rPr>
        <w:t>Behavior Analyst Certification Board (BACB)</w:t>
      </w:r>
    </w:p>
    <w:p w14:paraId="26ECD9CD" w14:textId="77777777" w:rsidR="000A4DF9" w:rsidRPr="0092246F" w:rsidRDefault="000A4DF9" w:rsidP="003A6B2B">
      <w:pPr>
        <w:spacing w:after="30" w:line="240" w:lineRule="auto"/>
        <w:rPr>
          <w:rFonts w:asciiTheme="majorHAnsi" w:eastAsia="Times New Roman" w:hAnsiTheme="majorHAnsi" w:cstheme="majorHAnsi"/>
          <w:szCs w:val="24"/>
        </w:rPr>
      </w:pPr>
      <w:r w:rsidRPr="000A4DF9">
        <w:rPr>
          <w:rFonts w:asciiTheme="majorHAnsi" w:eastAsia="Times New Roman" w:hAnsiTheme="majorHAnsi" w:cstheme="majorHAnsi"/>
          <w:szCs w:val="24"/>
        </w:rPr>
        <w:t xml:space="preserve">7950 Shaffer Parkway </w:t>
      </w:r>
    </w:p>
    <w:p w14:paraId="030E0166" w14:textId="12DAD8A1" w:rsidR="000A4DF9" w:rsidRPr="0092246F" w:rsidRDefault="000A4DF9" w:rsidP="003A6B2B">
      <w:pPr>
        <w:spacing w:after="30" w:line="240" w:lineRule="auto"/>
        <w:rPr>
          <w:rFonts w:asciiTheme="majorHAnsi" w:eastAsia="Times New Roman" w:hAnsiTheme="majorHAnsi" w:cstheme="majorHAnsi"/>
          <w:szCs w:val="24"/>
        </w:rPr>
      </w:pPr>
      <w:r w:rsidRPr="000A4DF9">
        <w:rPr>
          <w:rFonts w:asciiTheme="majorHAnsi" w:eastAsia="Times New Roman" w:hAnsiTheme="majorHAnsi" w:cstheme="majorHAnsi"/>
          <w:szCs w:val="24"/>
        </w:rPr>
        <w:t>Littleton, CO 80127</w:t>
      </w:r>
      <w:r w:rsidR="00680813" w:rsidRPr="0092246F">
        <w:rPr>
          <w:rFonts w:asciiTheme="majorHAnsi" w:eastAsia="Times New Roman" w:hAnsiTheme="majorHAnsi" w:cstheme="majorHAnsi"/>
          <w:szCs w:val="24"/>
        </w:rPr>
        <w:tab/>
      </w:r>
      <w:r w:rsidR="00680813" w:rsidRPr="0092246F">
        <w:rPr>
          <w:rFonts w:asciiTheme="majorHAnsi" w:eastAsia="Times New Roman" w:hAnsiTheme="majorHAnsi" w:cstheme="majorHAnsi"/>
          <w:szCs w:val="24"/>
        </w:rPr>
        <w:tab/>
      </w:r>
      <w:r w:rsidR="00680813" w:rsidRPr="0092246F">
        <w:rPr>
          <w:rFonts w:asciiTheme="majorHAnsi" w:eastAsia="Times New Roman" w:hAnsiTheme="majorHAnsi" w:cstheme="majorHAnsi"/>
          <w:szCs w:val="24"/>
        </w:rPr>
        <w:tab/>
      </w:r>
      <w:r w:rsidR="00680813" w:rsidRPr="0092246F">
        <w:rPr>
          <w:rFonts w:asciiTheme="majorHAnsi" w:eastAsia="Times New Roman" w:hAnsiTheme="majorHAnsi" w:cstheme="majorHAnsi"/>
          <w:szCs w:val="24"/>
        </w:rPr>
        <w:tab/>
      </w:r>
      <w:r w:rsidR="00680813" w:rsidRPr="0092246F">
        <w:rPr>
          <w:rFonts w:asciiTheme="majorHAnsi" w:eastAsia="Times New Roman" w:hAnsiTheme="majorHAnsi" w:cstheme="majorHAnsi"/>
          <w:szCs w:val="24"/>
        </w:rPr>
        <w:tab/>
      </w:r>
      <w:r w:rsidR="00680813" w:rsidRPr="0092246F">
        <w:rPr>
          <w:rFonts w:asciiTheme="majorHAnsi" w:eastAsia="Times New Roman" w:hAnsiTheme="majorHAnsi" w:cstheme="majorHAnsi"/>
          <w:szCs w:val="24"/>
        </w:rPr>
        <w:tab/>
      </w:r>
      <w:r w:rsidR="00680813" w:rsidRPr="0092246F">
        <w:rPr>
          <w:rFonts w:asciiTheme="majorHAnsi" w:eastAsia="Times New Roman" w:hAnsiTheme="majorHAnsi" w:cstheme="majorHAnsi"/>
          <w:szCs w:val="24"/>
        </w:rPr>
        <w:tab/>
      </w:r>
      <w:r w:rsidR="00680813" w:rsidRPr="0092246F">
        <w:rPr>
          <w:rFonts w:asciiTheme="majorHAnsi" w:eastAsia="Times New Roman" w:hAnsiTheme="majorHAnsi" w:cstheme="majorHAnsi"/>
          <w:szCs w:val="24"/>
        </w:rPr>
        <w:tab/>
      </w:r>
      <w:r w:rsidR="00680813" w:rsidRPr="0092246F">
        <w:rPr>
          <w:rFonts w:asciiTheme="majorHAnsi" w:eastAsia="Times New Roman" w:hAnsiTheme="majorHAnsi" w:cstheme="majorHAnsi"/>
          <w:szCs w:val="24"/>
        </w:rPr>
        <w:tab/>
      </w:r>
      <w:r w:rsidR="00680813" w:rsidRPr="0092246F">
        <w:rPr>
          <w:rFonts w:asciiTheme="majorHAnsi" w:eastAsia="Times New Roman" w:hAnsiTheme="majorHAnsi" w:cstheme="majorHAnsi"/>
          <w:szCs w:val="24"/>
        </w:rPr>
        <w:tab/>
        <w:t xml:space="preserve">    </w:t>
      </w:r>
      <w:r w:rsidR="004E17B2" w:rsidRPr="0092246F">
        <w:rPr>
          <w:rFonts w:asciiTheme="majorHAnsi" w:eastAsia="Times New Roman" w:hAnsiTheme="majorHAnsi" w:cstheme="majorHAnsi"/>
          <w:szCs w:val="24"/>
        </w:rPr>
        <w:t xml:space="preserve">         </w:t>
      </w:r>
      <w:r w:rsidRPr="000A4DF9">
        <w:rPr>
          <w:rFonts w:asciiTheme="majorHAnsi" w:eastAsia="Times New Roman" w:hAnsiTheme="majorHAnsi" w:cstheme="majorHAnsi"/>
          <w:szCs w:val="24"/>
        </w:rPr>
        <w:t>April 8, 2026</w:t>
      </w:r>
    </w:p>
    <w:p w14:paraId="401BE22C" w14:textId="77777777" w:rsidR="000A4DF9" w:rsidRPr="000A4DF9" w:rsidRDefault="000A4DF9" w:rsidP="003A6B2B">
      <w:pPr>
        <w:spacing w:before="240" w:after="30" w:line="240" w:lineRule="auto"/>
        <w:rPr>
          <w:rFonts w:asciiTheme="majorHAnsi" w:eastAsia="Times New Roman" w:hAnsiTheme="majorHAnsi" w:cstheme="majorHAnsi"/>
          <w:szCs w:val="24"/>
        </w:rPr>
      </w:pPr>
      <w:r w:rsidRPr="000A4DF9">
        <w:rPr>
          <w:rFonts w:asciiTheme="majorHAnsi" w:eastAsia="Times New Roman" w:hAnsiTheme="majorHAnsi" w:cstheme="majorHAnsi"/>
          <w:szCs w:val="24"/>
        </w:rPr>
        <w:t>Dear Members of the BACB Board of Directors,</w:t>
      </w:r>
    </w:p>
    <w:p w14:paraId="27F48DFB" w14:textId="77777777" w:rsidR="0092246F" w:rsidRPr="0092246F" w:rsidRDefault="000A4DF9" w:rsidP="00680813">
      <w:pPr>
        <w:spacing w:before="100" w:beforeAutospacing="1" w:after="0" w:line="240" w:lineRule="auto"/>
        <w:rPr>
          <w:rFonts w:asciiTheme="majorHAnsi" w:eastAsia="Times New Roman" w:hAnsiTheme="majorHAnsi" w:cstheme="majorHAnsi"/>
          <w:szCs w:val="24"/>
        </w:rPr>
      </w:pPr>
      <w:r w:rsidRPr="000A4DF9">
        <w:rPr>
          <w:rFonts w:asciiTheme="majorHAnsi" w:eastAsia="Times New Roman" w:hAnsiTheme="majorHAnsi" w:cstheme="majorHAnsi"/>
          <w:szCs w:val="24"/>
        </w:rPr>
        <w:t>I write as a BACB-credentialed behavior analyst and independent ABA provider to raise what I believe is a matter of urgent concern to the BACB's core mission: the protection of consumers of behavior analytic services through credentialing and professional standards.</w:t>
      </w:r>
    </w:p>
    <w:p w14:paraId="5FE5F69F" w14:textId="6CBCF449" w:rsidR="000A4DF9" w:rsidRPr="000A4DF9" w:rsidRDefault="000A4DF9" w:rsidP="003A6B2B">
      <w:pPr>
        <w:spacing w:before="120" w:after="240" w:line="240" w:lineRule="auto"/>
        <w:rPr>
          <w:rFonts w:asciiTheme="majorHAnsi" w:eastAsia="Times New Roman" w:hAnsiTheme="majorHAnsi" w:cstheme="majorHAnsi"/>
          <w:szCs w:val="24"/>
        </w:rPr>
      </w:pPr>
      <w:r w:rsidRPr="000A4DF9">
        <w:rPr>
          <w:rFonts w:asciiTheme="majorHAnsi" w:eastAsia="Times New Roman" w:hAnsiTheme="majorHAnsi" w:cstheme="majorHAnsi"/>
          <w:szCs w:val="24"/>
        </w:rPr>
        <w:t>The concern is specific and fully documented in publicly available materials. The organization currently stewarding the BACB's ABA Practice Guidelines — the Council of Autism Service Providers (CASP), a 501(c)(6) trade association whose legal obligation runs to its dues-paying members rather than to the public — is simultaneously and actively lobbying against mandatory enforcement of the BACB's own frontline practitioner credential. These two facts represent a contradiction the BACB has both the standing and the obligation to address.</w:t>
      </w:r>
    </w:p>
    <w:p w14:paraId="2B398420" w14:textId="77777777" w:rsidR="0092246F" w:rsidRPr="0092246F" w:rsidRDefault="000A4DF9" w:rsidP="0092246F">
      <w:pPr>
        <w:spacing w:before="120" w:after="120" w:line="240" w:lineRule="auto"/>
        <w:rPr>
          <w:rFonts w:asciiTheme="majorHAnsi" w:eastAsia="Times New Roman" w:hAnsiTheme="majorHAnsi" w:cstheme="majorHAnsi"/>
          <w:szCs w:val="24"/>
        </w:rPr>
      </w:pPr>
      <w:r w:rsidRPr="000A4DF9">
        <w:rPr>
          <w:rFonts w:asciiTheme="majorHAnsi" w:eastAsia="Times New Roman" w:hAnsiTheme="majorHAnsi" w:cstheme="majorHAnsi"/>
          <w:b/>
          <w:bCs/>
          <w:szCs w:val="24"/>
        </w:rPr>
        <w:t>The Core Contradiction</w:t>
      </w:r>
    </w:p>
    <w:p w14:paraId="0805A574" w14:textId="74563B9A" w:rsidR="000A4DF9" w:rsidRPr="000A4DF9" w:rsidRDefault="000A4DF9" w:rsidP="0092246F">
      <w:pPr>
        <w:spacing w:before="120" w:after="120" w:line="240" w:lineRule="auto"/>
        <w:rPr>
          <w:rFonts w:asciiTheme="majorHAnsi" w:eastAsia="Times New Roman" w:hAnsiTheme="majorHAnsi" w:cstheme="majorHAnsi"/>
          <w:szCs w:val="24"/>
        </w:rPr>
      </w:pPr>
      <w:r w:rsidRPr="000A4DF9">
        <w:rPr>
          <w:rFonts w:asciiTheme="majorHAnsi" w:eastAsia="Times New Roman" w:hAnsiTheme="majorHAnsi" w:cstheme="majorHAnsi"/>
          <w:szCs w:val="24"/>
        </w:rPr>
        <w:t>CASP received the ABA Practice Guidelines from the BACB in March 2020 and promotes them as the clinical foundation of its advocacy to payers and federal agencies including CMS, TRICARE, the Department of Labor, and the Department of Defense. Yet on its own publicly available advocacy page, CASP explicitly identifies mandatory RBT enrollment requirements as a named policy barrier it deployed lobbyists to defeat. At the federal level, it advocates for staffing classifications deliberately broader than RBT-specific language, preserving billing flexibility for large provider organizations staffing direct service roles without BACB certification.</w:t>
      </w:r>
    </w:p>
    <w:p w14:paraId="5BA90A70" w14:textId="0D4D4D08" w:rsidR="000A4DF9" w:rsidRPr="000A4DF9" w:rsidRDefault="000A4DF9" w:rsidP="003A6B2B">
      <w:pPr>
        <w:spacing w:before="120" w:after="240" w:line="240" w:lineRule="auto"/>
        <w:rPr>
          <w:rFonts w:asciiTheme="majorHAnsi" w:eastAsia="Times New Roman" w:hAnsiTheme="majorHAnsi" w:cstheme="majorHAnsi"/>
          <w:szCs w:val="24"/>
        </w:rPr>
      </w:pPr>
      <w:r w:rsidRPr="000A4DF9">
        <w:rPr>
          <w:rFonts w:asciiTheme="majorHAnsi" w:eastAsia="Times New Roman" w:hAnsiTheme="majorHAnsi" w:cstheme="majorHAnsi"/>
          <w:szCs w:val="24"/>
        </w:rPr>
        <w:t>CASP invokes the BACB's credibility when it confers authori</w:t>
      </w:r>
      <w:r w:rsidR="00105D3A" w:rsidRPr="0092246F">
        <w:rPr>
          <w:rFonts w:asciiTheme="majorHAnsi" w:eastAsia="Times New Roman" w:hAnsiTheme="majorHAnsi" w:cstheme="majorHAnsi"/>
          <w:szCs w:val="24"/>
        </w:rPr>
        <w:t>ty.</w:t>
      </w:r>
      <w:r w:rsidRPr="000A4DF9">
        <w:rPr>
          <w:rFonts w:asciiTheme="majorHAnsi" w:eastAsia="Times New Roman" w:hAnsiTheme="majorHAnsi" w:cstheme="majorHAnsi"/>
          <w:szCs w:val="24"/>
        </w:rPr>
        <w:t xml:space="preserve"> It works against the BACB's credentialing standards when they create cost or compliance friction for its largest member organizations. This is not a coherent clinical position. It is a financial one — conducted under the authority of guidelines the BACB transferred in good faith.</w:t>
      </w:r>
    </w:p>
    <w:p w14:paraId="1E6E989E" w14:textId="77777777" w:rsidR="00860BBA" w:rsidRPr="0092246F" w:rsidRDefault="00860BBA" w:rsidP="0092246F">
      <w:pPr>
        <w:pStyle w:val="font-claude-response-body"/>
        <w:spacing w:before="120" w:beforeAutospacing="0" w:after="120" w:afterAutospacing="0"/>
        <w:rPr>
          <w:rFonts w:asciiTheme="majorHAnsi" w:hAnsiTheme="majorHAnsi" w:cstheme="majorHAnsi"/>
        </w:rPr>
      </w:pPr>
      <w:r w:rsidRPr="0092246F">
        <w:rPr>
          <w:rStyle w:val="Strong"/>
          <w:rFonts w:asciiTheme="majorHAnsi" w:hAnsiTheme="majorHAnsi" w:cstheme="majorHAnsi"/>
        </w:rPr>
        <w:t>A Pattern the BACB Should Understand</w:t>
      </w:r>
    </w:p>
    <w:p w14:paraId="13E1A2FE" w14:textId="77777777" w:rsidR="00860BBA" w:rsidRPr="0092246F" w:rsidRDefault="00860BBA" w:rsidP="0092246F">
      <w:pPr>
        <w:pStyle w:val="font-claude-response-body"/>
        <w:spacing w:before="120" w:beforeAutospacing="0" w:after="120" w:afterAutospacing="0"/>
        <w:rPr>
          <w:rFonts w:asciiTheme="majorHAnsi" w:hAnsiTheme="majorHAnsi" w:cstheme="majorHAnsi"/>
        </w:rPr>
      </w:pPr>
      <w:r w:rsidRPr="0092246F">
        <w:rPr>
          <w:rFonts w:asciiTheme="majorHAnsi" w:hAnsiTheme="majorHAnsi" w:cstheme="majorHAnsi"/>
        </w:rPr>
        <w:t>The RBT credentialing issue does not exist in isolation. Since receiving the guidelines in 2020, CASP has systematically expanded its authority over every layer of the autism services ecosystem: lobbying more than a dozen payer entities to require its own wholly-owned accreditation subsidiary (ACQ) as a network participation condition; acquiring a second accreditation program (BHCOE) and a national patient data registry; co-publishing professional guidelines with APBA, extending borrowed BACB authority into new domains; and building a compounding commercial infrastructure in which every new compliance requirement generates a new revenue stream for the same organization writing the rules.</w:t>
      </w:r>
    </w:p>
    <w:p w14:paraId="5236B7F9" w14:textId="77777777" w:rsidR="00860BBA" w:rsidRPr="0092246F" w:rsidRDefault="00860BBA" w:rsidP="0092246F">
      <w:pPr>
        <w:pStyle w:val="font-claude-response-body"/>
        <w:spacing w:before="120" w:beforeAutospacing="0" w:after="120" w:afterAutospacing="0"/>
        <w:rPr>
          <w:rFonts w:asciiTheme="majorHAnsi" w:hAnsiTheme="majorHAnsi" w:cstheme="majorHAnsi"/>
        </w:rPr>
      </w:pPr>
      <w:r w:rsidRPr="0092246F">
        <w:rPr>
          <w:rFonts w:asciiTheme="majorHAnsi" w:hAnsiTheme="majorHAnsi" w:cstheme="majorHAnsi"/>
        </w:rPr>
        <w:t>CASP's own CEO has publicly acknowledged that ACQ "wouldn't have been able to make ends meet" without CASP's direct financial support — meaning the accreditation body CASP is lobbying payers to require is financially dependent on the trade association whose members it accredits. This is not an independent standards body. It is a vertically integrated commercial ecosystem operating under borrowed scientific authority.</w:t>
      </w:r>
    </w:p>
    <w:p w14:paraId="51921583" w14:textId="77777777" w:rsidR="008515A2" w:rsidRPr="0092246F" w:rsidRDefault="008515A2" w:rsidP="003A6B2B">
      <w:pPr>
        <w:pStyle w:val="font-claude-response-body"/>
        <w:spacing w:before="120" w:beforeAutospacing="0" w:after="240" w:afterAutospacing="0"/>
        <w:rPr>
          <w:rFonts w:asciiTheme="majorHAnsi" w:hAnsiTheme="majorHAnsi" w:cstheme="majorHAnsi"/>
        </w:rPr>
      </w:pPr>
      <w:r w:rsidRPr="0092246F">
        <w:rPr>
          <w:rFonts w:asciiTheme="majorHAnsi" w:hAnsiTheme="majorHAnsi" w:cstheme="majorHAnsi"/>
        </w:rPr>
        <w:lastRenderedPageBreak/>
        <w:t>The applied behavior analysis field is at an inflection point that other healthcare professions have already passed — and from which history offers a clear lesson: when independent governance structures are not established before corporate capital enters a field at scale, the standards that follow tend to reflect investment interests rather than clinical ones. The BACB has built the credentialing infrastructure this field depends on. What has not yet been built is an equally independent body governing clinical standards and practice guidelines — and in that vacuum, a trade association has positioned itself to fill the role. The BACB's own certification, and the scientific integrity it represents, has a direct stake in whether that vacuum is addressed before it becomes permanent.</w:t>
      </w:r>
    </w:p>
    <w:p w14:paraId="6C501203" w14:textId="6F7AAF08" w:rsidR="008515A2" w:rsidRPr="0092246F" w:rsidRDefault="008515A2" w:rsidP="0092246F">
      <w:pPr>
        <w:pStyle w:val="font-claude-response-body"/>
        <w:spacing w:before="120" w:beforeAutospacing="0" w:after="120" w:afterAutospacing="0"/>
        <w:rPr>
          <w:rFonts w:asciiTheme="majorHAnsi" w:hAnsiTheme="majorHAnsi" w:cstheme="majorHAnsi"/>
        </w:rPr>
      </w:pPr>
      <w:r w:rsidRPr="0092246F">
        <w:rPr>
          <w:rStyle w:val="Strong"/>
          <w:rFonts w:asciiTheme="majorHAnsi" w:hAnsiTheme="majorHAnsi" w:cstheme="majorHAnsi"/>
        </w:rPr>
        <w:t xml:space="preserve">A Note on </w:t>
      </w:r>
      <w:r w:rsidR="00ED0CEC" w:rsidRPr="0092246F">
        <w:rPr>
          <w:rStyle w:val="Strong"/>
          <w:rFonts w:asciiTheme="majorHAnsi" w:hAnsiTheme="majorHAnsi" w:cstheme="majorHAnsi"/>
        </w:rPr>
        <w:t>ACQ and the Governance Gap</w:t>
      </w:r>
    </w:p>
    <w:p w14:paraId="4D58AE24" w14:textId="657EF180" w:rsidR="008515A2" w:rsidRPr="0092246F" w:rsidRDefault="008515A2" w:rsidP="003A6B2B">
      <w:pPr>
        <w:pStyle w:val="font-claude-response-body"/>
        <w:spacing w:before="120" w:beforeAutospacing="0" w:after="120" w:afterAutospacing="0"/>
        <w:rPr>
          <w:rFonts w:asciiTheme="majorHAnsi" w:hAnsiTheme="majorHAnsi" w:cstheme="majorHAnsi"/>
        </w:rPr>
      </w:pPr>
      <w:r w:rsidRPr="0092246F">
        <w:rPr>
          <w:rFonts w:asciiTheme="majorHAnsi" w:hAnsiTheme="majorHAnsi" w:cstheme="majorHAnsi"/>
        </w:rPr>
        <w:t xml:space="preserve">It is worth noting that a credentialing body for organizational practice standards is precisely what </w:t>
      </w:r>
      <w:proofErr w:type="gramStart"/>
      <w:r w:rsidRPr="0092246F">
        <w:rPr>
          <w:rFonts w:asciiTheme="majorHAnsi" w:hAnsiTheme="majorHAnsi" w:cstheme="majorHAnsi"/>
        </w:rPr>
        <w:t>this field needs</w:t>
      </w:r>
      <w:proofErr w:type="gramEnd"/>
      <w:r w:rsidRPr="0092246F">
        <w:rPr>
          <w:rFonts w:asciiTheme="majorHAnsi" w:hAnsiTheme="majorHAnsi" w:cstheme="majorHAnsi"/>
        </w:rPr>
        <w:t xml:space="preserve"> — and ACQ's existence suggests the field recognizes that need. The problem is not the concept. It is the structure. An accreditation body that is wholly owned by the trade association whose members it accredits, that cannot financially sustain itself without that trade association's support, and that was designed and governed by the executives of the organizations it evaluates cannot serve as an independent standards body — regardless of the good faith of the individuals involved. ACQ as currently structured is not a solution to the governance problem this letter describes. It is an extension of it. The BACB should be aware that any response to these concerns that effectively endorses ACQ as an independent governance body for organizational clinical standards would compound rather than resolve the conflict of interest documented here.</w:t>
      </w:r>
    </w:p>
    <w:p w14:paraId="3213C707" w14:textId="53191F45" w:rsidR="000A4DF9" w:rsidRPr="000A4DF9" w:rsidRDefault="008515A2" w:rsidP="003A6B2B">
      <w:pPr>
        <w:spacing w:before="120" w:after="240" w:line="240" w:lineRule="auto"/>
        <w:rPr>
          <w:rFonts w:asciiTheme="majorHAnsi" w:eastAsia="Times New Roman" w:hAnsiTheme="majorHAnsi" w:cstheme="majorHAnsi"/>
          <w:szCs w:val="24"/>
        </w:rPr>
      </w:pPr>
      <w:r w:rsidRPr="0092246F">
        <w:rPr>
          <w:rFonts w:asciiTheme="majorHAnsi" w:eastAsia="Times New Roman" w:hAnsiTheme="majorHAnsi" w:cstheme="majorHAnsi"/>
          <w:szCs w:val="24"/>
        </w:rPr>
        <w:t>We</w:t>
      </w:r>
      <w:r w:rsidR="000A4DF9" w:rsidRPr="000A4DF9">
        <w:rPr>
          <w:rFonts w:asciiTheme="majorHAnsi" w:eastAsia="Times New Roman" w:hAnsiTheme="majorHAnsi" w:cstheme="majorHAnsi"/>
          <w:szCs w:val="24"/>
        </w:rPr>
        <w:t xml:space="preserve"> </w:t>
      </w:r>
      <w:r w:rsidRPr="0092246F">
        <w:rPr>
          <w:rFonts w:asciiTheme="majorHAnsi" w:eastAsia="Times New Roman" w:hAnsiTheme="majorHAnsi" w:cstheme="majorHAnsi"/>
          <w:szCs w:val="24"/>
        </w:rPr>
        <w:t>are</w:t>
      </w:r>
      <w:r w:rsidR="000A4DF9" w:rsidRPr="000A4DF9">
        <w:rPr>
          <w:rFonts w:asciiTheme="majorHAnsi" w:eastAsia="Times New Roman" w:hAnsiTheme="majorHAnsi" w:cstheme="majorHAnsi"/>
          <w:szCs w:val="24"/>
        </w:rPr>
        <w:t xml:space="preserve"> </w:t>
      </w:r>
      <w:r w:rsidRPr="0092246F">
        <w:rPr>
          <w:rFonts w:asciiTheme="majorHAnsi" w:eastAsia="Times New Roman" w:hAnsiTheme="majorHAnsi" w:cstheme="majorHAnsi"/>
          <w:szCs w:val="24"/>
        </w:rPr>
        <w:t>a</w:t>
      </w:r>
      <w:r w:rsidR="000A4DF9" w:rsidRPr="000A4DF9">
        <w:rPr>
          <w:rFonts w:asciiTheme="majorHAnsi" w:eastAsia="Times New Roman" w:hAnsiTheme="majorHAnsi" w:cstheme="majorHAnsi"/>
          <w:szCs w:val="24"/>
        </w:rPr>
        <w:t xml:space="preserve">sking the BACB to </w:t>
      </w:r>
      <w:r w:rsidRPr="0092246F">
        <w:rPr>
          <w:rFonts w:asciiTheme="majorHAnsi" w:eastAsia="Times New Roman" w:hAnsiTheme="majorHAnsi" w:cstheme="majorHAnsi"/>
          <w:szCs w:val="24"/>
        </w:rPr>
        <w:t>c</w:t>
      </w:r>
      <w:r w:rsidR="000A4DF9" w:rsidRPr="000A4DF9">
        <w:rPr>
          <w:rFonts w:asciiTheme="majorHAnsi" w:eastAsia="Times New Roman" w:hAnsiTheme="majorHAnsi" w:cstheme="majorHAnsi"/>
          <w:szCs w:val="24"/>
        </w:rPr>
        <w:t>onsider</w:t>
      </w:r>
      <w:r w:rsidRPr="0092246F">
        <w:rPr>
          <w:rFonts w:asciiTheme="majorHAnsi" w:eastAsia="Times New Roman" w:hAnsiTheme="majorHAnsi" w:cstheme="majorHAnsi"/>
          <w:szCs w:val="24"/>
        </w:rPr>
        <w:t xml:space="preserve"> the following:</w:t>
      </w:r>
    </w:p>
    <w:p w14:paraId="10E81780" w14:textId="1965E4EF" w:rsidR="00354ED9" w:rsidRPr="0092246F" w:rsidRDefault="006B1151" w:rsidP="003A6B2B">
      <w:pPr>
        <w:pStyle w:val="ListParagraph"/>
        <w:numPr>
          <w:ilvl w:val="0"/>
          <w:numId w:val="3"/>
        </w:numPr>
        <w:spacing w:before="120" w:after="120"/>
        <w:rPr>
          <w:rFonts w:asciiTheme="majorHAnsi" w:hAnsiTheme="majorHAnsi" w:cstheme="majorHAnsi"/>
        </w:rPr>
      </w:pPr>
      <w:r w:rsidRPr="0092246F">
        <w:rPr>
          <w:rFonts w:asciiTheme="majorHAnsi" w:hAnsiTheme="majorHAnsi" w:cstheme="majorHAnsi"/>
        </w:rPr>
        <w:t>Conduct a</w:t>
      </w:r>
      <w:r w:rsidR="00354ED9" w:rsidRPr="0092246F">
        <w:rPr>
          <w:rFonts w:asciiTheme="majorHAnsi" w:hAnsiTheme="majorHAnsi" w:cstheme="majorHAnsi"/>
        </w:rPr>
        <w:t xml:space="preserve"> formal review of how the ABA Practice Guidelines are currently being used by CASP </w:t>
      </w:r>
      <w:r w:rsidR="00354ED9" w:rsidRPr="0092246F">
        <w:rPr>
          <w:rFonts w:asciiTheme="majorHAnsi" w:hAnsiTheme="majorHAnsi" w:cstheme="majorHAnsi"/>
        </w:rPr>
        <w:t xml:space="preserve">- </w:t>
      </w:r>
      <w:r w:rsidR="00354ED9" w:rsidRPr="0092246F">
        <w:rPr>
          <w:rFonts w:asciiTheme="majorHAnsi" w:hAnsiTheme="majorHAnsi" w:cstheme="majorHAnsi"/>
        </w:rPr>
        <w:t xml:space="preserve">specifically whether CASP's documented opposition to mandatory RBT enrollment is consistent with the consumer protection purpose for which those guidelines were developed, and whether CASP's stewardship remains appropriate given the pattern documented above. </w:t>
      </w:r>
    </w:p>
    <w:p w14:paraId="192DBB72" w14:textId="5D8610FF" w:rsidR="00354ED9" w:rsidRPr="0092246F" w:rsidRDefault="006B1151" w:rsidP="00354ED9">
      <w:pPr>
        <w:pStyle w:val="ListParagraph"/>
        <w:numPr>
          <w:ilvl w:val="0"/>
          <w:numId w:val="3"/>
        </w:numPr>
        <w:rPr>
          <w:rFonts w:asciiTheme="majorHAnsi" w:hAnsiTheme="majorHAnsi" w:cstheme="majorHAnsi"/>
        </w:rPr>
      </w:pPr>
      <w:r w:rsidRPr="0092246F">
        <w:rPr>
          <w:rFonts w:asciiTheme="majorHAnsi" w:hAnsiTheme="majorHAnsi" w:cstheme="majorHAnsi"/>
        </w:rPr>
        <w:t>Issue p</w:t>
      </w:r>
      <w:r w:rsidR="00354ED9" w:rsidRPr="0092246F">
        <w:rPr>
          <w:rFonts w:asciiTheme="majorHAnsi" w:hAnsiTheme="majorHAnsi" w:cstheme="majorHAnsi"/>
        </w:rPr>
        <w:t xml:space="preserve">ublic statements affirming that mandatory RBT enrollment represents the minimum professional standard for frontline ABA service delivery, and that CASP's advocacy positions do not carry the BACB's endorsement where they conflict with BACB credentialing standards. </w:t>
      </w:r>
    </w:p>
    <w:p w14:paraId="06CB5D65" w14:textId="69C6962C" w:rsidR="00354ED9" w:rsidRPr="0092246F" w:rsidRDefault="006B1151" w:rsidP="003A6B2B">
      <w:pPr>
        <w:pStyle w:val="ListParagraph"/>
        <w:numPr>
          <w:ilvl w:val="0"/>
          <w:numId w:val="3"/>
        </w:numPr>
        <w:spacing w:before="120" w:after="240"/>
        <w:rPr>
          <w:rFonts w:asciiTheme="majorHAnsi" w:hAnsiTheme="majorHAnsi" w:cstheme="majorHAnsi"/>
        </w:rPr>
      </w:pPr>
      <w:r w:rsidRPr="0092246F">
        <w:rPr>
          <w:rFonts w:asciiTheme="majorHAnsi" w:hAnsiTheme="majorHAnsi" w:cstheme="majorHAnsi"/>
        </w:rPr>
        <w:t>Create a</w:t>
      </w:r>
      <w:r w:rsidR="00354ED9" w:rsidRPr="0092246F">
        <w:rPr>
          <w:rFonts w:asciiTheme="majorHAnsi" w:hAnsiTheme="majorHAnsi" w:cstheme="majorHAnsi"/>
        </w:rPr>
        <w:t xml:space="preserve"> formal policy governing future transfers of BACB-developed guidelines to external entities</w:t>
      </w:r>
      <w:r w:rsidRPr="0092246F">
        <w:rPr>
          <w:rFonts w:asciiTheme="majorHAnsi" w:hAnsiTheme="majorHAnsi" w:cstheme="majorHAnsi"/>
        </w:rPr>
        <w:t xml:space="preserve"> that includes </w:t>
      </w:r>
      <w:r w:rsidR="00354ED9" w:rsidRPr="0092246F">
        <w:rPr>
          <w:rFonts w:asciiTheme="majorHAnsi" w:hAnsiTheme="majorHAnsi" w:cstheme="majorHAnsi"/>
        </w:rPr>
        <w:t>governance requirements, conflict of interest disclosures, and conditions under which stewardship may be revoked.</w:t>
      </w:r>
      <w:r w:rsidR="00354ED9" w:rsidRPr="0092246F">
        <w:rPr>
          <w:rFonts w:asciiTheme="majorHAnsi" w:eastAsia="Times New Roman" w:hAnsiTheme="majorHAnsi" w:cstheme="majorHAnsi"/>
          <w:szCs w:val="24"/>
        </w:rPr>
        <w:t xml:space="preserve"> </w:t>
      </w:r>
    </w:p>
    <w:p w14:paraId="713AE402" w14:textId="77777777" w:rsidR="00ED0CEC" w:rsidRPr="0092246F" w:rsidRDefault="00ED0CEC" w:rsidP="003A6B2B">
      <w:pPr>
        <w:pStyle w:val="font-claude-response-body"/>
        <w:spacing w:before="120" w:beforeAutospacing="0" w:after="240" w:afterAutospacing="0"/>
        <w:rPr>
          <w:rFonts w:asciiTheme="majorHAnsi" w:hAnsiTheme="majorHAnsi" w:cstheme="majorHAnsi"/>
        </w:rPr>
      </w:pPr>
      <w:r w:rsidRPr="0092246F">
        <w:rPr>
          <w:rFonts w:asciiTheme="majorHAnsi" w:hAnsiTheme="majorHAnsi" w:cstheme="majorHAnsi"/>
        </w:rPr>
        <w:t>The families of autistic children receiving ABA from uncredentialed frontline practitioners — in states where CASP has successfully opposed RBT enrollment requirements — are the consumers the BACB's mission exists to protect. A full position statement documenting these concerns is enclosed and is also available at abaaccountabilityproject.org.</w:t>
      </w:r>
    </w:p>
    <w:p w14:paraId="7B4A0EDE" w14:textId="77777777" w:rsidR="00ED0CEC" w:rsidRDefault="00ED0CEC" w:rsidP="003A6B2B">
      <w:pPr>
        <w:pStyle w:val="font-claude-response-body"/>
        <w:spacing w:before="120" w:beforeAutospacing="0" w:after="240" w:afterAutospacing="0"/>
        <w:rPr>
          <w:rFonts w:asciiTheme="majorHAnsi" w:hAnsiTheme="majorHAnsi" w:cstheme="majorHAnsi"/>
        </w:rPr>
      </w:pPr>
      <w:r w:rsidRPr="0092246F">
        <w:rPr>
          <w:rFonts w:asciiTheme="majorHAnsi" w:hAnsiTheme="majorHAnsi" w:cstheme="majorHAnsi"/>
        </w:rPr>
        <w:t>Respectfully submitted,</w:t>
      </w:r>
    </w:p>
    <w:p w14:paraId="3271EE95" w14:textId="77777777" w:rsidR="003A6B2B" w:rsidRPr="0092246F" w:rsidRDefault="003A6B2B" w:rsidP="003A6B2B">
      <w:pPr>
        <w:pStyle w:val="font-claude-response-body"/>
        <w:spacing w:before="120" w:beforeAutospacing="0" w:after="240" w:afterAutospacing="0"/>
        <w:rPr>
          <w:rFonts w:asciiTheme="majorHAnsi" w:hAnsiTheme="majorHAnsi" w:cstheme="majorHAnsi"/>
        </w:rPr>
      </w:pPr>
    </w:p>
    <w:p w14:paraId="1CEE375F" w14:textId="448F8961" w:rsidR="009922EC" w:rsidRPr="0092246F" w:rsidRDefault="000A4DF9" w:rsidP="0092246F">
      <w:pPr>
        <w:spacing w:before="120" w:after="120" w:line="240" w:lineRule="auto"/>
        <w:rPr>
          <w:rFonts w:asciiTheme="majorHAnsi" w:eastAsia="Times New Roman" w:hAnsiTheme="majorHAnsi" w:cstheme="majorHAnsi"/>
          <w:szCs w:val="24"/>
        </w:rPr>
      </w:pPr>
      <w:r w:rsidRPr="000A4DF9">
        <w:rPr>
          <w:rFonts w:asciiTheme="majorHAnsi" w:eastAsia="Times New Roman" w:hAnsiTheme="majorHAnsi" w:cstheme="majorHAnsi"/>
          <w:szCs w:val="24"/>
        </w:rPr>
        <w:t xml:space="preserve">Kirstin Hall, </w:t>
      </w:r>
      <w:r w:rsidR="003A6B2B">
        <w:rPr>
          <w:rFonts w:asciiTheme="majorHAnsi" w:eastAsia="Times New Roman" w:hAnsiTheme="majorHAnsi" w:cstheme="majorHAnsi"/>
          <w:szCs w:val="24"/>
        </w:rPr>
        <w:t xml:space="preserve">MS, </w:t>
      </w:r>
      <w:r w:rsidRPr="000A4DF9">
        <w:rPr>
          <w:rFonts w:asciiTheme="majorHAnsi" w:eastAsia="Times New Roman" w:hAnsiTheme="majorHAnsi" w:cstheme="majorHAnsi"/>
          <w:szCs w:val="24"/>
        </w:rPr>
        <w:t xml:space="preserve">BCBA </w:t>
      </w:r>
      <w:r w:rsidR="009922EC" w:rsidRPr="0092246F">
        <w:rPr>
          <w:rFonts w:asciiTheme="majorHAnsi" w:eastAsia="Times New Roman" w:hAnsiTheme="majorHAnsi" w:cstheme="majorHAnsi"/>
          <w:szCs w:val="24"/>
        </w:rPr>
        <w:br/>
      </w:r>
      <w:r w:rsidRPr="000A4DF9">
        <w:rPr>
          <w:rFonts w:asciiTheme="majorHAnsi" w:eastAsia="Times New Roman" w:hAnsiTheme="majorHAnsi" w:cstheme="majorHAnsi"/>
          <w:i/>
          <w:iCs/>
          <w:szCs w:val="24"/>
        </w:rPr>
        <w:t>On behalf of the signatories of the ABA Accountability Project</w:t>
      </w:r>
      <w:r w:rsidRPr="000A4DF9">
        <w:rPr>
          <w:rFonts w:asciiTheme="majorHAnsi" w:eastAsia="Times New Roman" w:hAnsiTheme="majorHAnsi" w:cstheme="majorHAnsi"/>
          <w:szCs w:val="24"/>
        </w:rPr>
        <w:t xml:space="preserve"> </w:t>
      </w:r>
    </w:p>
    <w:p w14:paraId="05BBD870" w14:textId="4635BE9A" w:rsidR="001B55F9" w:rsidRPr="0092246F" w:rsidRDefault="000A4DF9" w:rsidP="0092246F">
      <w:pPr>
        <w:spacing w:before="120" w:after="120" w:line="240" w:lineRule="auto"/>
        <w:rPr>
          <w:rFonts w:asciiTheme="majorHAnsi" w:hAnsiTheme="majorHAnsi" w:cstheme="majorHAnsi"/>
          <w:szCs w:val="24"/>
        </w:rPr>
      </w:pPr>
      <w:r w:rsidRPr="000A4DF9">
        <w:rPr>
          <w:rFonts w:asciiTheme="majorHAnsi" w:eastAsia="Times New Roman" w:hAnsiTheme="majorHAnsi" w:cstheme="majorHAnsi"/>
          <w:szCs w:val="24"/>
        </w:rPr>
        <w:t>abaaccountabilityproject.org</w:t>
      </w:r>
    </w:p>
    <w:sectPr w:rsidR="001B55F9" w:rsidRPr="0092246F" w:rsidSect="0092246F">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795A" w14:textId="77777777" w:rsidR="00EA1E1B" w:rsidRDefault="00EA1E1B" w:rsidP="00561BF2">
      <w:pPr>
        <w:spacing w:after="0" w:line="240" w:lineRule="auto"/>
      </w:pPr>
      <w:r>
        <w:separator/>
      </w:r>
    </w:p>
  </w:endnote>
  <w:endnote w:type="continuationSeparator" w:id="0">
    <w:p w14:paraId="7050A4BE" w14:textId="77777777" w:rsidR="00EA1E1B" w:rsidRDefault="00EA1E1B" w:rsidP="0056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stoM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5EA4" w14:textId="77777777" w:rsidR="009F5679" w:rsidRDefault="009F5679" w:rsidP="00561BF2">
    <w:pPr>
      <w:autoSpaceDE w:val="0"/>
      <w:autoSpaceDN w:val="0"/>
      <w:adjustRightInd w:val="0"/>
      <w:spacing w:after="0" w:line="240" w:lineRule="auto"/>
      <w:jc w:val="center"/>
      <w:rPr>
        <w:rFonts w:ascii="Bookman Old Style" w:hAnsi="Bookman Old Style" w:cs="CalistoMT"/>
        <w:sz w:val="20"/>
        <w:szCs w:val="20"/>
      </w:rPr>
    </w:pPr>
  </w:p>
  <w:p w14:paraId="230469AF" w14:textId="77777777" w:rsidR="00561BF2" w:rsidRPr="00561BF2" w:rsidRDefault="00561BF2" w:rsidP="00561BF2">
    <w:pPr>
      <w:autoSpaceDE w:val="0"/>
      <w:autoSpaceDN w:val="0"/>
      <w:adjustRightInd w:val="0"/>
      <w:spacing w:after="0" w:line="240" w:lineRule="auto"/>
      <w:jc w:val="center"/>
      <w:rPr>
        <w:rFonts w:ascii="Bookman Old Style" w:hAnsi="Bookman Old Sty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A2CB" w14:textId="77777777" w:rsidR="00EA1E1B" w:rsidRDefault="00EA1E1B" w:rsidP="00561BF2">
      <w:pPr>
        <w:spacing w:after="0" w:line="240" w:lineRule="auto"/>
      </w:pPr>
      <w:r>
        <w:separator/>
      </w:r>
    </w:p>
  </w:footnote>
  <w:footnote w:type="continuationSeparator" w:id="0">
    <w:p w14:paraId="0039C515" w14:textId="77777777" w:rsidR="00EA1E1B" w:rsidRDefault="00EA1E1B" w:rsidP="00561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8069" w14:textId="5A694B72" w:rsidR="00490BF2" w:rsidRPr="00676C3C" w:rsidRDefault="004C3DE3" w:rsidP="00676C3C">
    <w:r>
      <w:rPr>
        <w:rFonts w:ascii="Arial" w:hAnsi="Arial" w:cs="Arial"/>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203B"/>
    <w:multiLevelType w:val="hybridMultilevel"/>
    <w:tmpl w:val="4B4E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15F50"/>
    <w:multiLevelType w:val="hybridMultilevel"/>
    <w:tmpl w:val="8832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D338A"/>
    <w:multiLevelType w:val="multilevel"/>
    <w:tmpl w:val="F29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731848">
    <w:abstractNumId w:val="2"/>
  </w:num>
  <w:num w:numId="2" w16cid:durableId="1363677125">
    <w:abstractNumId w:val="1"/>
  </w:num>
  <w:num w:numId="3" w16cid:durableId="5971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4D"/>
    <w:rsid w:val="0006506E"/>
    <w:rsid w:val="000937C4"/>
    <w:rsid w:val="000A4DF9"/>
    <w:rsid w:val="000A4FC2"/>
    <w:rsid w:val="000E2E6E"/>
    <w:rsid w:val="00105D3A"/>
    <w:rsid w:val="00116E2A"/>
    <w:rsid w:val="0014045F"/>
    <w:rsid w:val="001A179D"/>
    <w:rsid w:val="001B55F9"/>
    <w:rsid w:val="002D1BD6"/>
    <w:rsid w:val="00320131"/>
    <w:rsid w:val="00354ED9"/>
    <w:rsid w:val="00366217"/>
    <w:rsid w:val="003A6B2B"/>
    <w:rsid w:val="003F201B"/>
    <w:rsid w:val="00490BF2"/>
    <w:rsid w:val="004C3DE3"/>
    <w:rsid w:val="004C54BF"/>
    <w:rsid w:val="004D58E5"/>
    <w:rsid w:val="004E17B2"/>
    <w:rsid w:val="00561BF2"/>
    <w:rsid w:val="00570F95"/>
    <w:rsid w:val="00596F98"/>
    <w:rsid w:val="00615857"/>
    <w:rsid w:val="00636516"/>
    <w:rsid w:val="00676C3C"/>
    <w:rsid w:val="00680813"/>
    <w:rsid w:val="006A4F56"/>
    <w:rsid w:val="006B1151"/>
    <w:rsid w:val="00724C68"/>
    <w:rsid w:val="008236BA"/>
    <w:rsid w:val="008515A2"/>
    <w:rsid w:val="00860BBA"/>
    <w:rsid w:val="008669DF"/>
    <w:rsid w:val="008B3FA0"/>
    <w:rsid w:val="008B520F"/>
    <w:rsid w:val="008D3014"/>
    <w:rsid w:val="0092094D"/>
    <w:rsid w:val="0092246F"/>
    <w:rsid w:val="00925608"/>
    <w:rsid w:val="009351C5"/>
    <w:rsid w:val="009922EC"/>
    <w:rsid w:val="009D01D1"/>
    <w:rsid w:val="009F5679"/>
    <w:rsid w:val="00A0742F"/>
    <w:rsid w:val="00A33558"/>
    <w:rsid w:val="00A347EE"/>
    <w:rsid w:val="00AA572C"/>
    <w:rsid w:val="00B35526"/>
    <w:rsid w:val="00B36973"/>
    <w:rsid w:val="00B77A39"/>
    <w:rsid w:val="00BC5C64"/>
    <w:rsid w:val="00C03B5C"/>
    <w:rsid w:val="00C95BE9"/>
    <w:rsid w:val="00CD2A46"/>
    <w:rsid w:val="00DC1B70"/>
    <w:rsid w:val="00DD7D8A"/>
    <w:rsid w:val="00EA1E1B"/>
    <w:rsid w:val="00EA271E"/>
    <w:rsid w:val="00ED0CEC"/>
    <w:rsid w:val="00FE63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0767"/>
  <w15:docId w15:val="{0CBA4F66-1689-A944-AC78-A6660E98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BF2"/>
  </w:style>
  <w:style w:type="paragraph" w:styleId="Footer">
    <w:name w:val="footer"/>
    <w:basedOn w:val="Normal"/>
    <w:link w:val="FooterChar"/>
    <w:uiPriority w:val="99"/>
    <w:unhideWhenUsed/>
    <w:rsid w:val="00561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BF2"/>
  </w:style>
  <w:style w:type="paragraph" w:styleId="BalloonText">
    <w:name w:val="Balloon Text"/>
    <w:basedOn w:val="Normal"/>
    <w:link w:val="BalloonTextChar"/>
    <w:uiPriority w:val="99"/>
    <w:semiHidden/>
    <w:unhideWhenUsed/>
    <w:rsid w:val="00561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F2"/>
    <w:rPr>
      <w:rFonts w:ascii="Segoe UI" w:hAnsi="Segoe UI" w:cs="Segoe UI"/>
      <w:sz w:val="18"/>
      <w:szCs w:val="18"/>
    </w:rPr>
  </w:style>
  <w:style w:type="character" w:styleId="Hyperlink">
    <w:name w:val="Hyperlink"/>
    <w:basedOn w:val="DefaultParagraphFont"/>
    <w:uiPriority w:val="99"/>
    <w:unhideWhenUsed/>
    <w:rsid w:val="00A0742F"/>
    <w:rPr>
      <w:color w:val="0563C1" w:themeColor="hyperlink"/>
      <w:u w:val="single"/>
    </w:rPr>
  </w:style>
  <w:style w:type="character" w:styleId="UnresolvedMention">
    <w:name w:val="Unresolved Mention"/>
    <w:basedOn w:val="DefaultParagraphFont"/>
    <w:uiPriority w:val="99"/>
    <w:semiHidden/>
    <w:unhideWhenUsed/>
    <w:rsid w:val="002D1BD6"/>
    <w:rPr>
      <w:color w:val="605E5C"/>
      <w:shd w:val="clear" w:color="auto" w:fill="E1DFDD"/>
    </w:rPr>
  </w:style>
  <w:style w:type="paragraph" w:customStyle="1" w:styleId="font-claude-response-body">
    <w:name w:val="font-claude-response-body"/>
    <w:basedOn w:val="Normal"/>
    <w:rsid w:val="000A4DF9"/>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0A4DF9"/>
    <w:rPr>
      <w:b/>
      <w:bCs/>
    </w:rPr>
  </w:style>
  <w:style w:type="paragraph" w:customStyle="1" w:styleId="whitespace-normal">
    <w:name w:val="whitespace-normal"/>
    <w:basedOn w:val="Normal"/>
    <w:rsid w:val="000A4DF9"/>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0A4DF9"/>
    <w:rPr>
      <w:i/>
      <w:iCs/>
    </w:rPr>
  </w:style>
  <w:style w:type="paragraph" w:styleId="ListParagraph">
    <w:name w:val="List Paragraph"/>
    <w:basedOn w:val="Normal"/>
    <w:uiPriority w:val="34"/>
    <w:qFormat/>
    <w:rsid w:val="00676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59C8-6FC7-4940-8334-5BDA0C15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iraheilveil@yahoo.com</dc:creator>
  <cp:keywords/>
  <dc:description/>
  <cp:lastModifiedBy>Microsoft Office User</cp:lastModifiedBy>
  <cp:revision>14</cp:revision>
  <cp:lastPrinted>2015-09-25T18:07:00Z</cp:lastPrinted>
  <dcterms:created xsi:type="dcterms:W3CDTF">2026-04-09T00:05:00Z</dcterms:created>
  <dcterms:modified xsi:type="dcterms:W3CDTF">2026-04-09T01:38:00Z</dcterms:modified>
</cp:coreProperties>
</file>