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B36" w:rsidRDefault="00000000">
      <w:r>
        <w:rPr>
          <w:b/>
          <w:bCs/>
        </w:rPr>
        <w:t>[Yo</w:t>
      </w:r>
      <w:r w:rsidR="00EC3631">
        <w:rPr>
          <w:b/>
          <w:bCs/>
        </w:rPr>
        <w:t xml:space="preserve">ur </w:t>
      </w:r>
      <w:r>
        <w:rPr>
          <w:b/>
          <w:bCs/>
        </w:rPr>
        <w:t>Name], [Credentials]</w:t>
      </w:r>
    </w:p>
    <w:p w:rsidR="003B2B36" w:rsidRDefault="00000000">
      <w:r>
        <w:t xml:space="preserve">[Your </w:t>
      </w:r>
      <w:proofErr w:type="gramStart"/>
      <w:r>
        <w:t>Organization</w:t>
      </w:r>
      <w:proofErr w:type="gramEnd"/>
      <w:r>
        <w:t>]</w:t>
      </w:r>
    </w:p>
    <w:p w:rsidR="003B2B36" w:rsidRDefault="00000000">
      <w:pPr>
        <w:spacing w:after="240"/>
      </w:pPr>
      <w:r>
        <w:t xml:space="preserve">[City, </w:t>
      </w:r>
      <w:proofErr w:type="gramStart"/>
      <w:r>
        <w:t>State]  |</w:t>
      </w:r>
      <w:proofErr w:type="gramEnd"/>
      <w:r>
        <w:t xml:space="preserve">  [Email]</w:t>
      </w:r>
    </w:p>
    <w:p w:rsidR="003B2B36" w:rsidRDefault="00000000" w:rsidP="00EC3631">
      <w:pPr>
        <w:spacing w:after="240"/>
        <w:jc w:val="right"/>
      </w:pPr>
      <w:r>
        <w:t>April 2026</w:t>
      </w:r>
    </w:p>
    <w:p w:rsidR="003B2B36" w:rsidRDefault="00000000">
      <w:r>
        <w:t>Board of Directors</w:t>
      </w:r>
    </w:p>
    <w:p w:rsidR="003B2B36" w:rsidRDefault="00000000">
      <w:pPr>
        <w:spacing w:after="360"/>
      </w:pPr>
      <w:r>
        <w:rPr>
          <w:b/>
          <w:bCs/>
        </w:rPr>
        <w:t>Behavior Analyst Certification Board (BACB)</w:t>
      </w:r>
    </w:p>
    <w:p w:rsidR="003B2B36" w:rsidRDefault="00000000">
      <w:pPr>
        <w:spacing w:after="240"/>
      </w:pPr>
      <w:r>
        <w:t>Dear Members of the BACB Board of Directors,</w:t>
      </w:r>
    </w:p>
    <w:p w:rsidR="003B2B36" w:rsidRDefault="00000000">
      <w:pPr>
        <w:spacing w:after="200"/>
      </w:pPr>
      <w:r>
        <w:t>I write as a [credentialed Behavior Analyst / RBT / parent / concerned citizen] to raise what I believe is a matter of urgent concern to the BACB’s core mission: the protection of consumers of behavior analytic services through credentialing and professional standards.</w:t>
      </w:r>
    </w:p>
    <w:p w:rsidR="003B2B36" w:rsidRDefault="00000000">
      <w:pPr>
        <w:spacing w:after="240"/>
      </w:pPr>
      <w:r>
        <w:t>The concern is specific and fully documented in publicly available materials. The organization currently stewarding the BACB’s ABA Practice Guidelines — the Council of Autism Service Providers (CASP), a 501(c)(6) trade association whose legal obligation runs to its dues-paying members rather than to the public — is simultaneously and actively lobbying against mandatory enforcement of the BACB’s own frontline practitioner credential. I am writing in support of concerns raised in detail by the ABA Accountability Project, a documented analysis of governance and accountability issues in applied behavior analysis available at abaaccountabilityproject.org.</w:t>
      </w:r>
    </w:p>
    <w:p w:rsidR="003B2B36" w:rsidRDefault="00000000">
      <w:pPr>
        <w:pStyle w:val="Heading1"/>
      </w:pPr>
      <w:r>
        <w:t>The Core Contradiction: Stewardship Without Fidelity</w:t>
      </w:r>
    </w:p>
    <w:p w:rsidR="003B2B36" w:rsidRDefault="00000000">
      <w:pPr>
        <w:spacing w:after="200"/>
      </w:pPr>
      <w:r>
        <w:t>CASP received the ABA Practice Guidelines from the BACB in March 2020. It promotes those guidelines as the clinical foundation of its advocacy to payers and federal agencies including CMS, TRICARE, the Department of Labor, and the Department of Defense. The authority it claims for those guidelines derives directly from the BACB’s credentialing legacy and the peer-reviewed research base of applied behavior analysis.</w:t>
      </w:r>
    </w:p>
    <w:p w:rsidR="003B2B36" w:rsidRDefault="00000000">
      <w:pPr>
        <w:spacing w:after="200"/>
      </w:pPr>
      <w:r>
        <w:t>On its own publicly available advocacy page, under Indiana state updates, CASP explicitly identifies “high risk provider enrollment requirements, including RBTs, by April 1, 2025” as a named policy barrier it has actively worked to defeat through state-level lobbying. At the federal level, CASP advocates for Department of Labor employment classifications that include broad, uncredentialed categories such as “Direct Service Professionals” and “Behavior Technicians” — deliberately broader than RBT-specific language, preserving maximum billing flexibility for large provider organizations staffing direct service roles without BACB certification.</w:t>
      </w:r>
    </w:p>
    <w:p w:rsidR="003B2B36" w:rsidRDefault="00000000">
      <w:pPr>
        <w:spacing w:after="240"/>
      </w:pPr>
      <w:r>
        <w:t xml:space="preserve">To state this plainly: CASP claims authority derived from BACB guidelines while simultaneously lobbying to eliminate requirements that the people delivering services under those guidelines hold the BACB’s own certification for that role. It invokes the BACB’s credibility when it confers authority and works against the BACB’s credentialing standards when those standards create cost or compliance friction for CASP’s largest member organizations. This is not a coherent clinical position. It is a financial one — </w:t>
      </w:r>
      <w:r>
        <w:lastRenderedPageBreak/>
        <w:t>being conducted under the authority of guidelines the BACB transferred to CASP in good faith.</w:t>
      </w:r>
    </w:p>
    <w:p w:rsidR="003B2B36" w:rsidRDefault="00000000">
      <w:pPr>
        <w:pStyle w:val="Heading1"/>
      </w:pPr>
      <w:r>
        <w:t>What the BACB Should Know About CASP’s Broader Trajectory</w:t>
      </w:r>
    </w:p>
    <w:p w:rsidR="003B2B36" w:rsidRDefault="00000000">
      <w:pPr>
        <w:spacing w:after="160"/>
      </w:pPr>
      <w:r>
        <w:t>The RBT credentialing issue does not exist in isolation. Since receiving the guidelines, CASP has:</w:t>
      </w:r>
    </w:p>
    <w:p w:rsidR="003B2B36" w:rsidRDefault="00000000">
      <w:pPr>
        <w:pStyle w:val="ListParagraph"/>
        <w:numPr>
          <w:ilvl w:val="0"/>
          <w:numId w:val="2"/>
        </w:numPr>
        <w:spacing w:after="120"/>
      </w:pPr>
      <w:r>
        <w:t>Successfully lobbied for more than a dozen payer entities to require ACQ or BHCOE accreditation as a condition of network participation — while its own CEO publicly stated that ACQ “wouldn’t have been able to make ends meet” without CASP’s financial support. An accreditation body that cannot sustain itself without the trade association whose members it accredits is not independent of that trade association, regardless of how it is described in public materials.</w:t>
      </w:r>
    </w:p>
    <w:p w:rsidR="003B2B36" w:rsidRDefault="00000000">
      <w:pPr>
        <w:pStyle w:val="ListParagraph"/>
        <w:numPr>
          <w:ilvl w:val="0"/>
          <w:numId w:val="2"/>
        </w:numPr>
        <w:spacing w:after="120"/>
      </w:pPr>
      <w:r>
        <w:t>In December 2025, fully acquired Jade Health — the parent company of the Behavioral Health Center of Excellence (BHCOE) and the National Autism Data Registry — consolidating two accreditation programs and a national patient data repository under a single trade association governed entirely by its own member organizations’ executives. BHCOE accreditations are being transitioned into the ACQ framework.</w:t>
      </w:r>
    </w:p>
    <w:p w:rsidR="003B2B36" w:rsidRDefault="00000000">
      <w:pPr>
        <w:pStyle w:val="ListParagraph"/>
        <w:numPr>
          <w:ilvl w:val="0"/>
          <w:numId w:val="2"/>
        </w:numPr>
        <w:spacing w:after="200"/>
      </w:pPr>
      <w:r>
        <w:t>In December 2024, celebrated publicly at the NYSE closing bell with a PE-backed company designed to “disrupt” autism care and ranked the No. 5 fastest growing private company in America — while simultaneously lobbying federal agencies to recognize its standards as authoritative clinical benchmarks.</w:t>
      </w:r>
    </w:p>
    <w:p w:rsidR="003B2B36" w:rsidRDefault="00000000">
      <w:pPr>
        <w:spacing w:after="240"/>
      </w:pPr>
      <w:r>
        <w:t>The pattern is consistent: CASP borrows professional authority it did not generate, extends it into new domains of commercial and regulatory influence, and advocates against the consumer protection mechanisms the credentialing community constructed to safeguard the patients those standards are supposed to serve.</w:t>
      </w:r>
    </w:p>
    <w:p w:rsidR="003B2B36" w:rsidRDefault="00000000">
      <w:pPr>
        <w:pStyle w:val="Heading1"/>
      </w:pPr>
      <w:r>
        <w:t>The Regulatory Context</w:t>
      </w:r>
    </w:p>
    <w:p w:rsidR="003B2B36" w:rsidRDefault="00000000">
      <w:pPr>
        <w:spacing w:after="240"/>
      </w:pPr>
      <w:r>
        <w:t>In most states, you cannot legally own a doctor’s office unless you are a doctor. That rule — the Corporate Practice of Medicine doctrine — exists in 33 states because lawmakers recognized that financial interests and clinical obligations point in different directions, and patients bear the cost when financial interests win. ABA has no such rule. Anyone can open an ABA clinic, hire BCBAs, and exercise operational control over clinical decisions with no credential, no licensure, and no professional accountability. Between 2017 and 2022, private equity firms completed 85 percent of all mergers and acquisitions in the autism services sector. In this environment, mandatory RBT enrollment requirements are not administrative paperwork — they are one of the few structural mechanisms available to ensure frontline practitioners have been trained, examined, and are supervised by a credentialed professional. CASP’s documented opposition to those requirements is opposition to one of the only consumer protection mechanisms currently available in a field the BACB’s own credential exists to protect.</w:t>
      </w:r>
    </w:p>
    <w:p w:rsidR="00EC3631" w:rsidRDefault="00EC3631">
      <w:pPr>
        <w:pStyle w:val="Heading1"/>
      </w:pPr>
    </w:p>
    <w:p w:rsidR="003B2B36" w:rsidRDefault="00000000">
      <w:pPr>
        <w:pStyle w:val="Heading1"/>
      </w:pPr>
      <w:r>
        <w:lastRenderedPageBreak/>
        <w:t>What I Am Asking the BACB to Consider</w:t>
      </w:r>
    </w:p>
    <w:p w:rsidR="003B2B36" w:rsidRDefault="00000000">
      <w:pPr>
        <w:pStyle w:val="ListParagraph"/>
        <w:numPr>
          <w:ilvl w:val="0"/>
          <w:numId w:val="2"/>
        </w:numPr>
        <w:spacing w:after="120"/>
      </w:pPr>
      <w:r>
        <w:t>Whether the BACB would conduct a formal review of how the ABA Practice Guidelines are currently being used by CASP — specifically whether CASP’s documented opposition to mandatory RBT enrollment is consistent with the consumer protection purpose for which those guidelines were developed.</w:t>
      </w:r>
    </w:p>
    <w:p w:rsidR="003B2B36" w:rsidRDefault="00000000">
      <w:pPr>
        <w:pStyle w:val="ListParagraph"/>
        <w:numPr>
          <w:ilvl w:val="0"/>
          <w:numId w:val="2"/>
        </w:numPr>
        <w:spacing w:after="120"/>
      </w:pPr>
      <w:r>
        <w:t>Whether the BACB would publicly affirm that mandatory RBT enrollment in Medicaid and other payer programs is consistent with the BACB’s professional and consumer protection standards — independent of and distinct from CASP’s lobbying position.</w:t>
      </w:r>
    </w:p>
    <w:p w:rsidR="003B2B36" w:rsidRDefault="00000000">
      <w:pPr>
        <w:pStyle w:val="ListParagraph"/>
        <w:numPr>
          <w:ilvl w:val="0"/>
          <w:numId w:val="2"/>
        </w:numPr>
        <w:spacing w:after="120"/>
      </w:pPr>
      <w:r>
        <w:t>Whether the BACB would issue a clarifying statement regarding the limits of CASP’s authority to invoke BACB-derived guidelines as the basis for policy positions that directly conflict with the BACB’s own credentialing standards.</w:t>
      </w:r>
    </w:p>
    <w:p w:rsidR="003B2B36" w:rsidRDefault="00000000">
      <w:pPr>
        <w:pStyle w:val="ListParagraph"/>
        <w:numPr>
          <w:ilvl w:val="0"/>
          <w:numId w:val="2"/>
        </w:numPr>
        <w:spacing w:after="120"/>
      </w:pPr>
      <w:r>
        <w:t>Whether the BACB has any ongoing mechanism to ensure guidelines transferred to another entity continue to be applied in ways consistent with their consumer protection purpose — and if not, whether establishing such a mechanism is warranted given the pattern documented above.</w:t>
      </w:r>
    </w:p>
    <w:p w:rsidR="003B2B36" w:rsidRDefault="00000000">
      <w:pPr>
        <w:pStyle w:val="ListParagraph"/>
        <w:numPr>
          <w:ilvl w:val="0"/>
          <w:numId w:val="2"/>
        </w:numPr>
        <w:spacing w:after="240"/>
      </w:pPr>
      <w:r>
        <w:t>Whether the BACB would formally recommend to payers and regulators that mandatory RBT credentialing represents the minimum professional standard for frontline ABA service delivery, consistent with the BACB’s credentialing mission.</w:t>
      </w:r>
    </w:p>
    <w:p w:rsidR="003B2B36" w:rsidRDefault="00000000">
      <w:pPr>
        <w:spacing w:after="200"/>
      </w:pPr>
      <w:r>
        <w:t>The families receiving ABA</w:t>
      </w:r>
      <w:r w:rsidR="00EC3631">
        <w:t xml:space="preserve"> services</w:t>
      </w:r>
      <w:r>
        <w:t xml:space="preserve"> from uncredentialed frontline practitioners — in states where CASP has successfully opposed RBT enrollment requirements — are the consumers the BACB’s mission exists to protect. They deserve to know that the organization stewarding the guidelines used to justify their children’s treatment is simultaneously lobbying to eliminate the requirement that the people delivering that treatment be certified.</w:t>
      </w:r>
    </w:p>
    <w:p w:rsidR="003B2B36" w:rsidRDefault="00000000">
      <w:pPr>
        <w:spacing w:after="360"/>
      </w:pPr>
      <w:r>
        <w:t>A detailed position statement documenting these and related concerns — grounded in CASP’s own public materials</w:t>
      </w:r>
      <w:r w:rsidR="00EC3631">
        <w:t xml:space="preserve"> and</w:t>
      </w:r>
      <w:r>
        <w:t xml:space="preserve"> peer-reviewed research</w:t>
      </w:r>
      <w:r w:rsidR="00EC3631">
        <w:t xml:space="preserve"> </w:t>
      </w:r>
      <w:r>
        <w:t>— is available at abaaccountabilityproject.org.</w:t>
      </w:r>
    </w:p>
    <w:p w:rsidR="003B2B36" w:rsidRDefault="00000000">
      <w:pPr>
        <w:spacing w:after="360"/>
      </w:pPr>
      <w:r>
        <w:t>Respectfully submitted,</w:t>
      </w:r>
    </w:p>
    <w:p w:rsidR="003B2B36" w:rsidRDefault="00000000">
      <w:r>
        <w:rPr>
          <w:b/>
          <w:bCs/>
        </w:rPr>
        <w:t>[Your Name]</w:t>
      </w:r>
    </w:p>
    <w:p w:rsidR="003B2B36" w:rsidRDefault="00000000">
      <w:r>
        <w:t>[Credentials]</w:t>
      </w:r>
    </w:p>
    <w:p w:rsidR="003B2B36" w:rsidRDefault="00000000">
      <w:r>
        <w:t>[Organization]</w:t>
      </w:r>
    </w:p>
    <w:p w:rsidR="003B2B36" w:rsidRDefault="00000000">
      <w:r>
        <w:t>[Contact Information]</w:t>
      </w:r>
    </w:p>
    <w:sectPr w:rsidR="003B2B3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6157E"/>
    <w:multiLevelType w:val="hybridMultilevel"/>
    <w:tmpl w:val="6BE6B13A"/>
    <w:lvl w:ilvl="0" w:tplc="975E6A2A">
      <w:start w:val="1"/>
      <w:numFmt w:val="bullet"/>
      <w:lvlText w:val="•"/>
      <w:lvlJc w:val="left"/>
      <w:pPr>
        <w:ind w:left="720" w:hanging="360"/>
      </w:pPr>
    </w:lvl>
    <w:lvl w:ilvl="1" w:tplc="5B321892">
      <w:numFmt w:val="decimal"/>
      <w:lvlText w:val=""/>
      <w:lvlJc w:val="left"/>
    </w:lvl>
    <w:lvl w:ilvl="2" w:tplc="21E00FF4">
      <w:numFmt w:val="decimal"/>
      <w:lvlText w:val=""/>
      <w:lvlJc w:val="left"/>
    </w:lvl>
    <w:lvl w:ilvl="3" w:tplc="434C250A">
      <w:numFmt w:val="decimal"/>
      <w:lvlText w:val=""/>
      <w:lvlJc w:val="left"/>
    </w:lvl>
    <w:lvl w:ilvl="4" w:tplc="639A5FE2">
      <w:numFmt w:val="decimal"/>
      <w:lvlText w:val=""/>
      <w:lvlJc w:val="left"/>
    </w:lvl>
    <w:lvl w:ilvl="5" w:tplc="CC1AAE04">
      <w:numFmt w:val="decimal"/>
      <w:lvlText w:val=""/>
      <w:lvlJc w:val="left"/>
    </w:lvl>
    <w:lvl w:ilvl="6" w:tplc="510006A6">
      <w:numFmt w:val="decimal"/>
      <w:lvlText w:val=""/>
      <w:lvlJc w:val="left"/>
    </w:lvl>
    <w:lvl w:ilvl="7" w:tplc="8C426850">
      <w:numFmt w:val="decimal"/>
      <w:lvlText w:val=""/>
      <w:lvlJc w:val="left"/>
    </w:lvl>
    <w:lvl w:ilvl="8" w:tplc="5FFA6DC8">
      <w:numFmt w:val="decimal"/>
      <w:lvlText w:val=""/>
      <w:lvlJc w:val="left"/>
    </w:lvl>
  </w:abstractNum>
  <w:abstractNum w:abstractNumId="1" w15:restartNumberingAfterBreak="0">
    <w:nsid w:val="67EA434B"/>
    <w:multiLevelType w:val="hybridMultilevel"/>
    <w:tmpl w:val="A3A0BE98"/>
    <w:lvl w:ilvl="0" w:tplc="803280D4">
      <w:start w:val="1"/>
      <w:numFmt w:val="bullet"/>
      <w:lvlText w:val="●"/>
      <w:lvlJc w:val="left"/>
      <w:pPr>
        <w:ind w:left="720" w:hanging="360"/>
      </w:pPr>
    </w:lvl>
    <w:lvl w:ilvl="1" w:tplc="D7A8F344">
      <w:start w:val="1"/>
      <w:numFmt w:val="bullet"/>
      <w:lvlText w:val="○"/>
      <w:lvlJc w:val="left"/>
      <w:pPr>
        <w:ind w:left="1440" w:hanging="360"/>
      </w:pPr>
    </w:lvl>
    <w:lvl w:ilvl="2" w:tplc="4280A534">
      <w:start w:val="1"/>
      <w:numFmt w:val="bullet"/>
      <w:lvlText w:val="■"/>
      <w:lvlJc w:val="left"/>
      <w:pPr>
        <w:ind w:left="2160" w:hanging="360"/>
      </w:pPr>
    </w:lvl>
    <w:lvl w:ilvl="3" w:tplc="4AAE422E">
      <w:start w:val="1"/>
      <w:numFmt w:val="bullet"/>
      <w:lvlText w:val="●"/>
      <w:lvlJc w:val="left"/>
      <w:pPr>
        <w:ind w:left="2880" w:hanging="360"/>
      </w:pPr>
    </w:lvl>
    <w:lvl w:ilvl="4" w:tplc="4C664B08">
      <w:start w:val="1"/>
      <w:numFmt w:val="bullet"/>
      <w:lvlText w:val="○"/>
      <w:lvlJc w:val="left"/>
      <w:pPr>
        <w:ind w:left="3600" w:hanging="360"/>
      </w:pPr>
    </w:lvl>
    <w:lvl w:ilvl="5" w:tplc="F134DFD6">
      <w:start w:val="1"/>
      <w:numFmt w:val="bullet"/>
      <w:lvlText w:val="■"/>
      <w:lvlJc w:val="left"/>
      <w:pPr>
        <w:ind w:left="4320" w:hanging="360"/>
      </w:pPr>
    </w:lvl>
    <w:lvl w:ilvl="6" w:tplc="C17C41B2">
      <w:start w:val="1"/>
      <w:numFmt w:val="bullet"/>
      <w:lvlText w:val="●"/>
      <w:lvlJc w:val="left"/>
      <w:pPr>
        <w:ind w:left="5040" w:hanging="360"/>
      </w:pPr>
    </w:lvl>
    <w:lvl w:ilvl="7" w:tplc="C39012E8">
      <w:start w:val="1"/>
      <w:numFmt w:val="bullet"/>
      <w:lvlText w:val="●"/>
      <w:lvlJc w:val="left"/>
      <w:pPr>
        <w:ind w:left="5760" w:hanging="360"/>
      </w:pPr>
    </w:lvl>
    <w:lvl w:ilvl="8" w:tplc="975C32E6">
      <w:start w:val="1"/>
      <w:numFmt w:val="bullet"/>
      <w:lvlText w:val="●"/>
      <w:lvlJc w:val="left"/>
      <w:pPr>
        <w:ind w:left="6480" w:hanging="360"/>
      </w:pPr>
    </w:lvl>
  </w:abstractNum>
  <w:num w:numId="1" w16cid:durableId="602764812">
    <w:abstractNumId w:val="1"/>
    <w:lvlOverride w:ilvl="0">
      <w:startOverride w:val="1"/>
    </w:lvlOverride>
  </w:num>
  <w:num w:numId="2" w16cid:durableId="18199522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B36"/>
    <w:rsid w:val="00320131"/>
    <w:rsid w:val="003B2B36"/>
    <w:rsid w:val="00EC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7EE20"/>
  <w15:docId w15:val="{78D7DBA5-98E6-F54D-AECB-BBC940C6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6"/>
      <w:szCs w:val="26"/>
    </w:rPr>
  </w:style>
  <w:style w:type="paragraph" w:styleId="Heading2">
    <w:name w:val="heading 2"/>
    <w:uiPriority w:val="9"/>
    <w:semiHidden/>
    <w:unhideWhenUsed/>
    <w:qFormat/>
    <w:pPr>
      <w:spacing w:before="200" w:after="10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1139</Words>
  <Characters>6497</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2026-04-16T23:10:00Z</dcterms:created>
  <dcterms:modified xsi:type="dcterms:W3CDTF">2026-04-17T03:32:00Z</dcterms:modified>
</cp:coreProperties>
</file>