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810" w:rsidRDefault="00000000">
      <w:r>
        <w:rPr>
          <w:b/>
          <w:bCs/>
        </w:rPr>
        <w:t>[Your Name], [Credentials]</w:t>
      </w:r>
    </w:p>
    <w:p w:rsidR="00E41810" w:rsidRDefault="00000000">
      <w:r>
        <w:t xml:space="preserve">[Your </w:t>
      </w:r>
      <w:proofErr w:type="gramStart"/>
      <w:r>
        <w:t>Organization</w:t>
      </w:r>
      <w:proofErr w:type="gramEnd"/>
      <w:r>
        <w:t>]</w:t>
      </w:r>
    </w:p>
    <w:p w:rsidR="00E41810" w:rsidRDefault="00000000">
      <w:pPr>
        <w:spacing w:after="240"/>
      </w:pPr>
      <w:r>
        <w:t xml:space="preserve">[City, </w:t>
      </w:r>
      <w:proofErr w:type="gramStart"/>
      <w:r>
        <w:t>State]  |</w:t>
      </w:r>
      <w:proofErr w:type="gramEnd"/>
      <w:r>
        <w:t xml:space="preserve">  [Email]</w:t>
      </w:r>
    </w:p>
    <w:p w:rsidR="00E41810" w:rsidRDefault="00000000" w:rsidP="00A57E63">
      <w:pPr>
        <w:spacing w:after="240"/>
        <w:jc w:val="right"/>
      </w:pPr>
      <w:r>
        <w:t>April 2026</w:t>
      </w:r>
    </w:p>
    <w:p w:rsidR="00E41810" w:rsidRDefault="00000000">
      <w:r>
        <w:t>Executive Council</w:t>
      </w:r>
    </w:p>
    <w:p w:rsidR="00E41810" w:rsidRDefault="00000000">
      <w:pPr>
        <w:spacing w:after="360"/>
      </w:pPr>
      <w:r>
        <w:rPr>
          <w:b/>
          <w:bCs/>
        </w:rPr>
        <w:t>Association for Behavior Analysis International (ABAI)</w:t>
      </w:r>
    </w:p>
    <w:p w:rsidR="00E41810" w:rsidRDefault="00000000">
      <w:pPr>
        <w:spacing w:after="240"/>
      </w:pPr>
      <w:r>
        <w:t>Dear Members of the ABAI Executive Council,</w:t>
      </w:r>
    </w:p>
    <w:p w:rsidR="00E41810" w:rsidRDefault="00000000">
      <w:pPr>
        <w:spacing w:after="200"/>
      </w:pPr>
      <w:r>
        <w:t>I write as a [credentialed Behavior Analyst / RBT / parent / concerned citizen] to raise a concern directly relevant to ABAI’s mission: the systematic appropriation of the scientific authority of behavior analysis by the Council of Autism Service Providers (CASP), a 501(c)(6) trade association — a legal designation that exists to advance the business interests of its dues-paying members, not a 501(c)(3) serving a public scientific or educational purpose — whose governance structure and financial incentives are incompatible with the independence that scientific authority requires.</w:t>
      </w:r>
    </w:p>
    <w:p w:rsidR="00E41810" w:rsidRDefault="00000000">
      <w:pPr>
        <w:spacing w:after="240"/>
      </w:pPr>
      <w:r>
        <w:t>I raise these concerns in support of a detailed analysis prepared by the ABA Accountability Project, available at abaaccountabilityproject.org, and in the belief that ABAI’s executive council would want to understand the full picture. This is not a peripheral concern. CASP is borrowing the credibility of the field’s science to pursue commercial and regulatory goals that serve its member organizations’ financial interests — in a regulatory environment that has no structural protection against it. ABAI is in a unique position to address this.</w:t>
      </w:r>
    </w:p>
    <w:p w:rsidR="00E41810" w:rsidRDefault="00000000">
      <w:pPr>
        <w:pStyle w:val="Heading1"/>
      </w:pPr>
      <w:r>
        <w:t>The Regulatory Vacuum: Why This Is Happening in ABA Specifically</w:t>
      </w:r>
    </w:p>
    <w:p w:rsidR="00E41810" w:rsidRDefault="00000000">
      <w:pPr>
        <w:spacing w:after="200"/>
      </w:pPr>
      <w:r>
        <w:t>In most states, you cannot legally own a doctor’s office unless you are a doctor. That rule — known as the Corporate Practice of Medicine doctrine — exists in 33 states because lawmakers recognized that business owners and investors make different decisions than clinicians, and patients pay the price when financial interests override clinical judgment. ABA has no equivalent rule. A private equity firm or individual with no clinical background can legally open an ABA clinic and exercise operational control over clinical decisions with no professional accountability.</w:t>
      </w:r>
    </w:p>
    <w:p w:rsidR="00E41810" w:rsidRDefault="00000000">
      <w:pPr>
        <w:spacing w:after="200"/>
      </w:pPr>
      <w:r>
        <w:t>Between 2017 and 2022, private equity firms completed 85 percent of all mergers and acquisitions in the autism services sector — a rate not found in any other healthcare segment. The Autism Investors Summit, a conference where providers and investors openly discuss buying and selling ABA companies alongside “clinical quality,” reflects the rational market response to an unprotected field. CASP board members have attended and engaged with PE firms at these events publicly.</w:t>
      </w:r>
    </w:p>
    <w:p w:rsidR="00E41810" w:rsidRDefault="00000000">
      <w:pPr>
        <w:spacing w:after="240"/>
      </w:pPr>
      <w:r>
        <w:t xml:space="preserve">Into this vacuum, CASP has inserted itself as the self-appointed arbiter of clinical standards. It received the BACB’s ABA Practice Guidelines in 2020 and monetizes them. It lobbies payers and federal agencies to adopt them as authoritative. It has built an accreditation subsidiary (ACQ), and in December 2025 fully acquired Jade Health — </w:t>
      </w:r>
      <w:r>
        <w:lastRenderedPageBreak/>
        <w:t>the parent company of the Behavioral Health Center of Excellence (BHCOE) and the National Autism Data Registry — consolidating two accreditation programs and a national patient data repository under a single trade association. All of this is governed by a board composed entirely of its own member organizations’ executives.</w:t>
      </w:r>
    </w:p>
    <w:p w:rsidR="00E41810" w:rsidRDefault="00000000">
      <w:pPr>
        <w:pStyle w:val="Heading1"/>
      </w:pPr>
      <w:r>
        <w:t>The Scientific Authority Problem</w:t>
      </w:r>
    </w:p>
    <w:p w:rsidR="00E41810" w:rsidRDefault="00000000">
      <w:pPr>
        <w:spacing w:after="200"/>
      </w:pPr>
      <w:r>
        <w:t>The ABA Practice Guidelines’ clinical credibility derives from decades of peer-reviewed behavior analytic research and the BACB’s credentialing rigor — not from CASP’s stewardship. When CASP invokes those guidelines to lobby CMS, TRICARE, the Department of Labor, and the Department of Defense, it is trading on the scientific credibility of the field’s research community to advance the commercial interests of its member organizations. CASP’s own CEO has publicly stated that ACQ “wouldn’t have been able to make ends meet” without CASP’s direct financial support — a direct admission that the accreditation body CASP is lobbying payers to require cannot sustain itself independently of the trade association whose members it accredits.</w:t>
      </w:r>
    </w:p>
    <w:p w:rsidR="00E41810" w:rsidRDefault="00000000">
      <w:pPr>
        <w:spacing w:after="200"/>
      </w:pPr>
      <w:r>
        <w:t>The clearest illustration of the gap between CASP’s claimed scientific authority and its actual financial priorities is its stance on the Registered Behavior Technician credential. CASP’s own advocacy page identifies mandatory RBT enrollment requirements as a named policy barrier it has deployed lobbyists to defeat. At the federal level it advocates for staffing classifications broad enough to bill for direct services delivered by uncredentialed staff. This is not a position derived from the science of behavior analysis — it is a financial position that directly contradicts the field’s scientific consensus on competent, supervised service delivery. Dr. Jon Bailey, the BACB’s founding director, has described this exact dynamic as “an erosion of the foundation” of applied behavior analysis.</w:t>
      </w:r>
    </w:p>
    <w:p w:rsidR="00E41810" w:rsidRDefault="00000000">
      <w:pPr>
        <w:spacing w:after="240"/>
      </w:pPr>
      <w:r>
        <w:t>ABAI’s silence on these questions is not neutral. When the field’s preeminent scientific organization does not clarify that CASP’s standards do not carry the scientific community’s endorsement, that silence is reasonably interpreted by payers, regulators, and federal agencies as implicit validation. The lobbying at CMS, TRICARE, and the DOL is happening now. Standards, once codified in federal policy, are significantly harder to reverse.</w:t>
      </w:r>
    </w:p>
    <w:p w:rsidR="00E41810" w:rsidRDefault="00000000">
      <w:pPr>
        <w:pStyle w:val="Heading1"/>
      </w:pPr>
      <w:r>
        <w:t>What I Am Asking ABAI to Consider</w:t>
      </w:r>
    </w:p>
    <w:p w:rsidR="00E41810" w:rsidRDefault="00000000">
      <w:pPr>
        <w:pStyle w:val="ListParagraph"/>
        <w:numPr>
          <w:ilvl w:val="0"/>
          <w:numId w:val="2"/>
        </w:numPr>
        <w:spacing w:after="120"/>
      </w:pPr>
      <w:r>
        <w:t>Whether ABAI would publicly clarify that CASP’s standards, guidelines, and accreditation programs do not carry ABAI’s scientific endorsement, and that payers and regulators should not treat CASP’s advocacy positions as reflecting the scientific consensus of the field.</w:t>
      </w:r>
    </w:p>
    <w:p w:rsidR="00E41810" w:rsidRDefault="00000000">
      <w:pPr>
        <w:pStyle w:val="ListParagraph"/>
        <w:numPr>
          <w:ilvl w:val="0"/>
          <w:numId w:val="2"/>
        </w:numPr>
        <w:spacing w:after="120"/>
      </w:pPr>
      <w:r>
        <w:t>Whether ABAI would articulate publicly what governance standards should apply to any organization seeking to translate the science of behavior analysis into clinical practice standards or payer policy — particularly regarding independence from the financial beneficiaries of those standards.</w:t>
      </w:r>
    </w:p>
    <w:p w:rsidR="00E41810" w:rsidRDefault="00000000">
      <w:pPr>
        <w:pStyle w:val="ListParagraph"/>
        <w:numPr>
          <w:ilvl w:val="0"/>
          <w:numId w:val="2"/>
        </w:numPr>
        <w:spacing w:after="120"/>
      </w:pPr>
      <w:r>
        <w:lastRenderedPageBreak/>
        <w:t>Whether ABAI would issue a scientific statement affirming that the BACB’s RBT credential represents the field’s scientific and ethical standard for frontline ABA practitioners</w:t>
      </w:r>
      <w:r w:rsidR="00D805E1">
        <w:t>.</w:t>
      </w:r>
    </w:p>
    <w:p w:rsidR="00E41810" w:rsidRDefault="00000000">
      <w:pPr>
        <w:pStyle w:val="ListParagraph"/>
        <w:numPr>
          <w:ilvl w:val="0"/>
          <w:numId w:val="2"/>
        </w:numPr>
        <w:spacing w:after="240"/>
      </w:pPr>
      <w:r>
        <w:t>Whether ABAI would engage with the growing legislative movement toward Corporate Practice of Medicine-equivalent protections for ABA, providing scientific guidance on the clinical consequences of non-credentialed ownership and investor control of ABA service delivery.</w:t>
      </w:r>
    </w:p>
    <w:p w:rsidR="00E41810" w:rsidRDefault="00000000">
      <w:pPr>
        <w:spacing w:after="200"/>
      </w:pPr>
      <w:r>
        <w:t>The science of behavior analysis has earned its authority through rigor and transparency. That authority should not be borrowed by entities whose governance structures are incompatible with the independence scientific credibility requires. ABAI is in a unique position to say so publicly, and the moment to do so is before the regulatory decisions currently in motion become settled.</w:t>
      </w:r>
    </w:p>
    <w:p w:rsidR="00E41810" w:rsidRDefault="00000000">
      <w:pPr>
        <w:spacing w:after="360"/>
      </w:pPr>
      <w:r>
        <w:t>A detailed position statement documenting these concerns in full is available at abaaccountabilityproject.org.</w:t>
      </w:r>
    </w:p>
    <w:p w:rsidR="00E41810" w:rsidRDefault="00000000">
      <w:pPr>
        <w:spacing w:after="360"/>
      </w:pPr>
      <w:r>
        <w:t>Respectfully submitted,</w:t>
      </w:r>
    </w:p>
    <w:p w:rsidR="00E41810" w:rsidRDefault="00000000">
      <w:r>
        <w:rPr>
          <w:b/>
          <w:bCs/>
        </w:rPr>
        <w:t>[Your Name]</w:t>
      </w:r>
    </w:p>
    <w:p w:rsidR="00E41810" w:rsidRDefault="00000000">
      <w:r>
        <w:t>[Credentials]</w:t>
      </w:r>
    </w:p>
    <w:p w:rsidR="00E41810" w:rsidRDefault="00000000">
      <w:r>
        <w:t>[Organization]</w:t>
      </w:r>
    </w:p>
    <w:p w:rsidR="00E41810" w:rsidRDefault="00000000">
      <w:r>
        <w:t>[Contact Information]</w:t>
      </w:r>
    </w:p>
    <w:sectPr w:rsidR="00E418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21"/>
    <w:multiLevelType w:val="hybridMultilevel"/>
    <w:tmpl w:val="66788852"/>
    <w:lvl w:ilvl="0" w:tplc="3CBAFCAA">
      <w:start w:val="1"/>
      <w:numFmt w:val="bullet"/>
      <w:lvlText w:val="●"/>
      <w:lvlJc w:val="left"/>
      <w:pPr>
        <w:ind w:left="720" w:hanging="360"/>
      </w:pPr>
    </w:lvl>
    <w:lvl w:ilvl="1" w:tplc="B292048A">
      <w:start w:val="1"/>
      <w:numFmt w:val="bullet"/>
      <w:lvlText w:val="○"/>
      <w:lvlJc w:val="left"/>
      <w:pPr>
        <w:ind w:left="1440" w:hanging="360"/>
      </w:pPr>
    </w:lvl>
    <w:lvl w:ilvl="2" w:tplc="7C82EE0E">
      <w:start w:val="1"/>
      <w:numFmt w:val="bullet"/>
      <w:lvlText w:val="■"/>
      <w:lvlJc w:val="left"/>
      <w:pPr>
        <w:ind w:left="2160" w:hanging="360"/>
      </w:pPr>
    </w:lvl>
    <w:lvl w:ilvl="3" w:tplc="2C66CF64">
      <w:start w:val="1"/>
      <w:numFmt w:val="bullet"/>
      <w:lvlText w:val="●"/>
      <w:lvlJc w:val="left"/>
      <w:pPr>
        <w:ind w:left="2880" w:hanging="360"/>
      </w:pPr>
    </w:lvl>
    <w:lvl w:ilvl="4" w:tplc="DFB60024">
      <w:start w:val="1"/>
      <w:numFmt w:val="bullet"/>
      <w:lvlText w:val="○"/>
      <w:lvlJc w:val="left"/>
      <w:pPr>
        <w:ind w:left="3600" w:hanging="360"/>
      </w:pPr>
    </w:lvl>
    <w:lvl w:ilvl="5" w:tplc="C60EB216">
      <w:start w:val="1"/>
      <w:numFmt w:val="bullet"/>
      <w:lvlText w:val="■"/>
      <w:lvlJc w:val="left"/>
      <w:pPr>
        <w:ind w:left="4320" w:hanging="360"/>
      </w:pPr>
    </w:lvl>
    <w:lvl w:ilvl="6" w:tplc="9CECADEC">
      <w:start w:val="1"/>
      <w:numFmt w:val="bullet"/>
      <w:lvlText w:val="●"/>
      <w:lvlJc w:val="left"/>
      <w:pPr>
        <w:ind w:left="5040" w:hanging="360"/>
      </w:pPr>
    </w:lvl>
    <w:lvl w:ilvl="7" w:tplc="BE4E450E">
      <w:start w:val="1"/>
      <w:numFmt w:val="bullet"/>
      <w:lvlText w:val="●"/>
      <w:lvlJc w:val="left"/>
      <w:pPr>
        <w:ind w:left="5760" w:hanging="360"/>
      </w:pPr>
    </w:lvl>
    <w:lvl w:ilvl="8" w:tplc="81F4F17A">
      <w:start w:val="1"/>
      <w:numFmt w:val="bullet"/>
      <w:lvlText w:val="●"/>
      <w:lvlJc w:val="left"/>
      <w:pPr>
        <w:ind w:left="6480" w:hanging="360"/>
      </w:pPr>
    </w:lvl>
  </w:abstractNum>
  <w:abstractNum w:abstractNumId="1" w15:restartNumberingAfterBreak="0">
    <w:nsid w:val="407E5C79"/>
    <w:multiLevelType w:val="hybridMultilevel"/>
    <w:tmpl w:val="B7585976"/>
    <w:lvl w:ilvl="0" w:tplc="698EEBE8">
      <w:start w:val="1"/>
      <w:numFmt w:val="bullet"/>
      <w:lvlText w:val="•"/>
      <w:lvlJc w:val="left"/>
      <w:pPr>
        <w:ind w:left="720" w:hanging="360"/>
      </w:pPr>
    </w:lvl>
    <w:lvl w:ilvl="1" w:tplc="D088A66C">
      <w:numFmt w:val="decimal"/>
      <w:lvlText w:val=""/>
      <w:lvlJc w:val="left"/>
    </w:lvl>
    <w:lvl w:ilvl="2" w:tplc="FE605C16">
      <w:numFmt w:val="decimal"/>
      <w:lvlText w:val=""/>
      <w:lvlJc w:val="left"/>
    </w:lvl>
    <w:lvl w:ilvl="3" w:tplc="26BEA376">
      <w:numFmt w:val="decimal"/>
      <w:lvlText w:val=""/>
      <w:lvlJc w:val="left"/>
    </w:lvl>
    <w:lvl w:ilvl="4" w:tplc="8056FAD8">
      <w:numFmt w:val="decimal"/>
      <w:lvlText w:val=""/>
      <w:lvlJc w:val="left"/>
    </w:lvl>
    <w:lvl w:ilvl="5" w:tplc="B7B41CE2">
      <w:numFmt w:val="decimal"/>
      <w:lvlText w:val=""/>
      <w:lvlJc w:val="left"/>
    </w:lvl>
    <w:lvl w:ilvl="6" w:tplc="7FC2B15C">
      <w:numFmt w:val="decimal"/>
      <w:lvlText w:val=""/>
      <w:lvlJc w:val="left"/>
    </w:lvl>
    <w:lvl w:ilvl="7" w:tplc="BB7622C2">
      <w:numFmt w:val="decimal"/>
      <w:lvlText w:val=""/>
      <w:lvlJc w:val="left"/>
    </w:lvl>
    <w:lvl w:ilvl="8" w:tplc="E264D3CA">
      <w:numFmt w:val="decimal"/>
      <w:lvlText w:val=""/>
      <w:lvlJc w:val="left"/>
    </w:lvl>
  </w:abstractNum>
  <w:num w:numId="1" w16cid:durableId="809980720">
    <w:abstractNumId w:val="0"/>
    <w:lvlOverride w:ilvl="0">
      <w:startOverride w:val="1"/>
    </w:lvlOverride>
  </w:num>
  <w:num w:numId="2" w16cid:durableId="342780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10"/>
    <w:rsid w:val="00320131"/>
    <w:rsid w:val="00A57E63"/>
    <w:rsid w:val="00D805E1"/>
    <w:rsid w:val="00E41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032F7"/>
  <w15:docId w15:val="{78D7DBA5-98E6-F54D-AECB-BBC940C6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2026-04-16T23:12:00Z</dcterms:created>
  <dcterms:modified xsi:type="dcterms:W3CDTF">2026-04-17T03:45:00Z</dcterms:modified>
</cp:coreProperties>
</file>